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color w:val="0D0D0D"/>
          <w:spacing w:val="2"/>
          <w:sz w:val="24"/>
          <w:szCs w:val="24"/>
        </w:rPr>
      </w:pPr>
      <w:bookmarkStart w:id="0" w:name="_GoBack"/>
      <w:bookmarkEnd w:id="0"/>
      <w:r>
        <w:rPr>
          <w:rFonts w:hint="eastAsia" w:ascii="仿宋" w:hAnsi="仿宋" w:eastAsia="仿宋" w:cs="仿宋"/>
          <w:b/>
          <w:bCs/>
          <w:color w:val="0D0D0D"/>
          <w:spacing w:val="2"/>
          <w:sz w:val="44"/>
          <w:szCs w:val="44"/>
        </w:rPr>
        <w:t>公示内容</w:t>
      </w:r>
    </w:p>
    <w:p>
      <w:pPr>
        <w:numPr>
          <w:ilvl w:val="0"/>
          <w:numId w:val="1"/>
        </w:num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推荐奖种：</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医学科技奖</w:t>
      </w:r>
    </w:p>
    <w:p>
      <w:pPr>
        <w:adjustRightInd w:val="0"/>
        <w:snapToGrid w:val="0"/>
        <w:spacing w:before="156" w:beforeLines="50" w:after="156" w:afterLines="50" w:line="400" w:lineRule="exact"/>
        <w:jc w:val="left"/>
        <w:rPr>
          <w:rFonts w:ascii="仿宋" w:hAnsi="仿宋" w:eastAsia="仿宋" w:cs="仿宋"/>
          <w:color w:val="0D0D0D"/>
          <w:spacing w:val="2"/>
          <w:sz w:val="24"/>
          <w:szCs w:val="24"/>
        </w:rPr>
      </w:pPr>
      <w:r>
        <w:rPr>
          <w:rFonts w:hint="eastAsia" w:ascii="仿宋" w:hAnsi="仿宋" w:eastAsia="仿宋" w:cs="仿宋"/>
          <w:b/>
          <w:bCs/>
          <w:color w:val="0D0D0D"/>
          <w:spacing w:val="2"/>
          <w:sz w:val="24"/>
          <w:szCs w:val="24"/>
        </w:rPr>
        <w:t>2. 项目名称</w:t>
      </w:r>
      <w:r>
        <w:rPr>
          <w:rFonts w:hint="eastAsia" w:ascii="仿宋" w:hAnsi="仿宋" w:eastAsia="仿宋" w:cs="仿宋"/>
          <w:color w:val="0D0D0D"/>
          <w:spacing w:val="2"/>
          <w:sz w:val="24"/>
          <w:szCs w:val="24"/>
        </w:rPr>
        <w:t>：</w:t>
      </w:r>
    </w:p>
    <w:p>
      <w:pPr>
        <w:adjustRightInd w:val="0"/>
        <w:snapToGrid w:val="0"/>
        <w:spacing w:before="156" w:beforeLines="50" w:after="156" w:afterLines="50" w:line="400" w:lineRule="exact"/>
        <w:ind w:firstLine="488" w:firstLineChars="200"/>
        <w:jc w:val="left"/>
        <w:rPr>
          <w:rFonts w:ascii="仿宋" w:hAnsi="仿宋" w:eastAsia="仿宋" w:cs="仿宋"/>
          <w:color w:val="0D0D0D"/>
          <w:spacing w:val="2"/>
          <w:sz w:val="24"/>
          <w:szCs w:val="24"/>
        </w:rPr>
      </w:pPr>
      <w:r>
        <w:rPr>
          <w:rFonts w:hint="eastAsia" w:ascii="仿宋" w:hAnsi="仿宋" w:eastAsia="仿宋" w:cs="仿宋"/>
          <w:color w:val="0D0D0D"/>
          <w:spacing w:val="2"/>
          <w:sz w:val="24"/>
          <w:szCs w:val="24"/>
        </w:rPr>
        <w:t>以眼部Aβ为靶点对阿尔茨海默病进行早期诊断和无创监测的研究</w:t>
      </w:r>
    </w:p>
    <w:p>
      <w:pPr>
        <w:numPr>
          <w:ilvl w:val="0"/>
          <w:numId w:val="1"/>
        </w:num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推荐单位：</w:t>
      </w:r>
    </w:p>
    <w:p>
      <w:pPr>
        <w:adjustRightInd w:val="0"/>
        <w:snapToGrid w:val="0"/>
        <w:spacing w:before="156" w:beforeLines="50" w:after="156" w:afterLines="50" w:line="400" w:lineRule="exact"/>
        <w:ind w:firstLine="488" w:firstLineChars="200"/>
        <w:rPr>
          <w:rFonts w:hint="default" w:ascii="仿宋" w:hAnsi="仿宋" w:eastAsia="仿宋" w:cs="仿宋"/>
          <w:color w:val="0D0D0D"/>
          <w:spacing w:val="2"/>
          <w:sz w:val="24"/>
          <w:szCs w:val="24"/>
          <w:lang w:val="en-US" w:eastAsia="zh-CN"/>
        </w:rPr>
      </w:pPr>
      <w:r>
        <w:rPr>
          <w:rFonts w:hint="eastAsia" w:ascii="仿宋" w:hAnsi="仿宋" w:eastAsia="仿宋" w:cs="仿宋"/>
          <w:color w:val="0D0D0D"/>
          <w:spacing w:val="2"/>
          <w:sz w:val="24"/>
          <w:szCs w:val="24"/>
          <w:lang w:val="en-US" w:eastAsia="zh-CN"/>
        </w:rPr>
        <w:t>广州市第一人民医院</w:t>
      </w:r>
    </w:p>
    <w:p>
      <w:pPr>
        <w:numPr>
          <w:ilvl w:val="0"/>
          <w:numId w:val="1"/>
        </w:num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推荐意见：</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项目围绕“阿尔茨海默病（AD）早期诊断和无创监测”的关键问题，以眼部淀粉样蛋白-β（Aβ）为靶点，采用AD及其相关眼部疾病模型，对AD眼部病损机制及其早期诊断与应用开展了系列研究。在机制研究层面，报道了Aβ在视网膜色素上皮细胞（RPE）沉积导致AD小鼠RPE功能障碍和相关的视网膜退行性疾病。通过一系列P-糖蛋白功能活性及其传导信号通路调控的研究，阐明了P-糖蛋白参与血脑屏障和血视网膜屏障Aβ异常沉积的部分机制，还在RPE细胞P-糖蛋白线粒体分布、抗氧化应激和炎症反应方面进行了深入探讨，进而提出低浓度Aβ可能是AD小鼠RPE损伤的重要促进因子和潜在干预靶点，可能通过P-糖蛋白干预早期年龄相关性黄斑变性等Aβ沉积性疾病。</w:t>
      </w:r>
    </w:p>
    <w:p>
      <w:pPr>
        <w:adjustRightInd w:val="0"/>
        <w:snapToGrid w:val="0"/>
        <w:spacing w:line="360" w:lineRule="auto"/>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我单位认真审核该项目填报各项内容，同意推荐申报第三届广东医学科技奖。</w:t>
      </w:r>
    </w:p>
    <w:p>
      <w:pPr>
        <w:numPr>
          <w:ilvl w:val="0"/>
          <w:numId w:val="1"/>
        </w:numPr>
        <w:shd w:val="clear" w:color="auto" w:fill="FFFFFF"/>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项目简介：</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AD是一种与衰老相关的神经退行性疾病和老年痴呆症的主要原因，其导致的不可逆性记忆力减退以及情绪异常等问题已成为全球老年人健康和生活质量的严重威胁。虽然目前尚无有效药物能够治愈AD，但如果在AD早期甚至是无症状期就对患者进行干预，临床症状则可能会延迟或减轻，这也是当前预防和治疗AD的实用思路。脑内Aβ沉积是AD的主要病理学特征，可能早于痴呆的临床表现出现前20年就已发生。视网膜是大脑的延伸，也是中枢神经系统的一部分。在AD视网膜和另一种发病机制相似的眼部神经退行性疾病，年龄相关性黄斑变性（AMD）的视网膜上均观察到Aβ的异常沉积。虽然可通过脑脊液分析和使用放射性示踪剂的脑成像确诊或预测AD的风险，但这些通过大脑检测Aβ的诊断方法不仅昂贵而且有创。对比之下，视网膜中的Aβ可以使用现代光子成像系统，如光学相干断层扫描（OCT）进行无创和方便的成像。此外，由于这些视网膜变性改变多数发生在大脑能够检测到病变之前，因此在能够最有效阻止疾病进展的早期阶段，利用量化视网膜Aβ标记物的新技术促进AD疾病进展的早期诊断和无创监测，具有重要意义。</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有鉴于此，本项目分别利用AD转基因小鼠和AMD等多个视网膜病变模型，完成以下研究工作：第一，证实Aβ在角膜和视网膜等眼部组织的异常沉积导致的病理学改变主要是角膜上皮细胞、视网膜神经节细胞和RPE细胞凋亡；第二，从“P-糖蛋白介导Aβ转运清除”角度，分别在血脑屏障和血视网膜屏障揭示P-糖蛋白可以将Aβ等毒性底物及时外排，减少细胞内毒性底物的聚集和相应的细胞损伤，提出RPE等屏障细胞P-糖蛋白可能是潜在的AMD等神经退行性疾病的干预靶点；第三，在脑部和眼部神经变性疾病、神经炎症疾病模型中，探讨P2X7R/ERK、NF-κB、iNOS等不同信号传导通路在神经变性和神经炎症中的发病机制与潜在干预价值。</w:t>
      </w:r>
    </w:p>
    <w:p>
      <w:pPr>
        <w:pStyle w:val="13"/>
        <w:numPr>
          <w:ilvl w:val="0"/>
          <w:numId w:val="1"/>
        </w:numPr>
        <w:spacing w:before="156" w:beforeLines="50" w:after="156" w:afterLines="50" w:line="400" w:lineRule="exact"/>
        <w:ind w:firstLine="0" w:firstLineChars="0"/>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客观评价：</w:t>
      </w:r>
    </w:p>
    <w:p>
      <w:pPr>
        <w:spacing w:before="50" w:after="50" w:line="400" w:lineRule="exact"/>
        <w:ind w:firstLine="600" w:firstLineChars="250"/>
        <w:rPr>
          <w:rFonts w:ascii="仿宋" w:hAnsi="仿宋" w:eastAsia="仿宋" w:cs="仿宋"/>
          <w:color w:val="000000"/>
          <w:kern w:val="0"/>
          <w:sz w:val="24"/>
          <w:szCs w:val="24"/>
        </w:rPr>
      </w:pPr>
      <w:r>
        <w:rPr>
          <w:rFonts w:hint="eastAsia" w:ascii="仿宋" w:hAnsi="仿宋" w:eastAsia="仿宋" w:cs="仿宋"/>
          <w:color w:val="000000"/>
          <w:kern w:val="0"/>
          <w:sz w:val="24"/>
          <w:szCs w:val="24"/>
        </w:rPr>
        <w:t>截至2019年5月31日本项目相关研究成果发表论文15篇。由教育部科技查新工作站（Z15）出具的15篇论文在SCIE/CNKI数据库中的收录及他引（排除所有作者）情况表明：11篇论文被SCIE收录，4篇论文被CNKI收录。SCIE收录文献在Web of Science中的总引合计266次。CNKI收录文献总引合计14次。</w:t>
      </w:r>
    </w:p>
    <w:p>
      <w:pPr>
        <w:spacing w:before="50" w:after="50" w:line="400" w:lineRule="exact"/>
        <w:ind w:firstLine="470" w:firstLineChars="196"/>
        <w:rPr>
          <w:rFonts w:ascii="仿宋" w:hAnsi="仿宋" w:eastAsia="仿宋" w:cs="仿宋"/>
          <w:color w:val="000000"/>
          <w:kern w:val="0"/>
          <w:sz w:val="24"/>
          <w:szCs w:val="24"/>
        </w:rPr>
      </w:pPr>
      <w:r>
        <w:rPr>
          <w:rFonts w:hint="eastAsia" w:ascii="仿宋" w:hAnsi="仿宋" w:eastAsia="仿宋" w:cs="仿宋"/>
          <w:color w:val="000000"/>
          <w:kern w:val="0"/>
          <w:sz w:val="24"/>
          <w:szCs w:val="24"/>
        </w:rPr>
        <w:t>由教育部科技查新工作站（Z15）出具的项目查新报告表明：关于以眼部Aβ为靶点对AD进行早期诊断和无创监测的研究，检索到的文献报道了Aβ蛋白的异常沉积和白内障、视网膜病变和AMD、青光眼等发生机制相关；报道了AD早期可观察到RNFL变薄、RGCL轴突变性、神经胶质瘢痕形成和髓鞘丢失和黄斑厚度的改变等均和AD密切相关；报道了Aβ可通过激活 p38 MAPK信号通路，上调 caspase-3 的表达；报道了视网膜中Aβ沉积与神经退行性变相关疾病的相关性；报道了提出利用先进的高分辨率成像技术检测视网膜AD病理学；报道了在AMD小鼠模型中注射抗Aβ抗体，支持Aβ是AMD治疗靶点的假设。根据国内外同类技术应用情况和文献报道，相关技术和文献未涉及采用AD模型小鼠研究视网膜上和AD相关病理改变的指标并监测Aβ疫苗治疗对视网膜病变影响，未涉及AD相关蛋白Aβ在眼部异常表达机制的研究，未涉及对早期AD眼部功能学和形态学改变进行检测的研究。经检索并对相关文献分析对比结果表明：该领域内国内外的相关文献报道分别涉及到该查新项目的部分研究内容，除该查新课题组人员发表的文献外，国内外未见与该查新项目以上技术特点均相符的文献报道。</w:t>
      </w:r>
    </w:p>
    <w:p>
      <w:pPr>
        <w:numPr>
          <w:ilvl w:val="0"/>
          <w:numId w:val="1"/>
        </w:num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推广应用情况：</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项目的</w:t>
      </w:r>
      <w:r>
        <w:rPr>
          <w:rFonts w:hint="eastAsia" w:ascii="仿宋" w:hAnsi="仿宋" w:eastAsia="仿宋" w:cs="仿宋"/>
          <w:sz w:val="24"/>
          <w:szCs w:val="24"/>
        </w:rPr>
        <w:t>临床应用前景是针对不同阶段AD和痴呆患者以及青光眼和AMD等神经退行性眼病患者进行“AD脑-眼”一体化诊疗。利用</w:t>
      </w:r>
      <w:r>
        <w:rPr>
          <w:rFonts w:hint="eastAsia" w:ascii="仿宋" w:hAnsi="仿宋" w:eastAsia="仿宋" w:cs="仿宋"/>
          <w:color w:val="000000"/>
          <w:sz w:val="24"/>
          <w:szCs w:val="24"/>
        </w:rPr>
        <w:t>先进的高分辨率成像技术</w:t>
      </w:r>
      <w:r>
        <w:rPr>
          <w:rFonts w:hint="eastAsia" w:ascii="仿宋" w:hAnsi="仿宋" w:eastAsia="仿宋" w:cs="仿宋"/>
          <w:color w:val="0D0D0D"/>
          <w:spacing w:val="2"/>
          <w:sz w:val="24"/>
          <w:szCs w:val="24"/>
        </w:rPr>
        <w:t>对AD眼部病损部位进行无创和方便的成像，辅以AD早期确诊和疗效判断</w:t>
      </w:r>
      <w:r>
        <w:rPr>
          <w:rFonts w:hint="eastAsia" w:ascii="仿宋" w:hAnsi="仿宋" w:eastAsia="仿宋" w:cs="仿宋"/>
          <w:color w:val="000000"/>
          <w:sz w:val="24"/>
          <w:szCs w:val="24"/>
        </w:rPr>
        <w:t>，特别是早期表现的淀粉样蛋白生物标志物，可以对高危人群进行大规模筛查和监测。</w:t>
      </w:r>
      <w:r>
        <w:rPr>
          <w:rFonts w:hint="eastAsia" w:ascii="仿宋" w:hAnsi="仿宋" w:eastAsia="仿宋" w:cs="仿宋"/>
          <w:sz w:val="24"/>
          <w:szCs w:val="24"/>
        </w:rPr>
        <w:t>项目主要完成人通过发表论文、会议讲座和继续教育学习班授课等形式及时对项目的发现进行总结和汇报。</w:t>
      </w:r>
    </w:p>
    <w:p>
      <w:pPr>
        <w:numPr>
          <w:ilvl w:val="0"/>
          <w:numId w:val="1"/>
        </w:num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知识产权证明目录：</w:t>
      </w:r>
    </w:p>
    <w:p>
      <w:pPr>
        <w:adjustRightInd w:val="0"/>
        <w:snapToGrid w:val="0"/>
        <w:spacing w:before="156" w:beforeLines="50" w:after="156" w:afterLines="50" w:line="400" w:lineRule="exact"/>
        <w:ind w:firstLine="488" w:firstLineChars="200"/>
        <w:rPr>
          <w:rFonts w:ascii="仿宋" w:hAnsi="仿宋" w:eastAsia="仿宋" w:cs="仿宋"/>
          <w:color w:val="0D0D0D"/>
          <w:spacing w:val="2"/>
          <w:sz w:val="24"/>
          <w:szCs w:val="24"/>
        </w:rPr>
      </w:pPr>
      <w:r>
        <w:rPr>
          <w:rFonts w:hint="eastAsia" w:ascii="仿宋" w:hAnsi="仿宋" w:eastAsia="仿宋" w:cs="仿宋"/>
          <w:color w:val="0D0D0D"/>
          <w:spacing w:val="2"/>
          <w:sz w:val="24"/>
          <w:szCs w:val="24"/>
        </w:rPr>
        <w:t>该项目不涉及直接支持本项目主要技术发明和主要科技创新成立的且已授权的知识产权，包括发明专利、实用新型专利、外观设计专利和计算机软件著作权、集成电路布图设计权等。</w:t>
      </w:r>
    </w:p>
    <w:p>
      <w:p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9.代表性论文目录：</w:t>
      </w:r>
    </w:p>
    <w:p>
      <w:pPr>
        <w:pStyle w:val="13"/>
        <w:numPr>
          <w:ilvl w:val="0"/>
          <w:numId w:val="2"/>
        </w:numPr>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Zhang Y, Lu M, Li C, Sun X, Kuang X, Ruan X</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Expression and activity of p-glycoprotein elevated by dexamethasone in cultured retinal pigment epithelium involve glucocorticoid receptor and pregnane X receptor. Invest Ophthalmol Vis Sci. 2012;53(7):3508-3515.</w:t>
      </w:r>
    </w:p>
    <w:p>
      <w:pPr>
        <w:pStyle w:val="13"/>
        <w:numPr>
          <w:ilvl w:val="0"/>
          <w:numId w:val="2"/>
        </w:numPr>
        <w:adjustRightInd w:val="0"/>
        <w:snapToGrid w:val="0"/>
        <w:spacing w:after="156" w:afterLines="50"/>
        <w:ind w:left="420" w:hanging="420" w:hangingChars="200"/>
        <w:jc w:val="left"/>
        <w:rPr>
          <w:rFonts w:ascii="仿宋" w:hAnsi="仿宋" w:eastAsia="仿宋" w:cs="仿宋"/>
          <w:color w:val="000000"/>
          <w:kern w:val="0"/>
          <w:sz w:val="24"/>
          <w:szCs w:val="24"/>
        </w:rPr>
      </w:pPr>
      <w:r>
        <w:fldChar w:fldCharType="begin"/>
      </w:r>
      <w:r>
        <w:instrText xml:space="preserve"> HYPERLINK "https://www.ncbi.nlm.nih.gov/pubmed/?term=Feng%20Q%5BAuthor%5D&amp;cauthor=true&amp;cauthor_uid=30496729" </w:instrText>
      </w:r>
      <w:r>
        <w:fldChar w:fldCharType="separate"/>
      </w:r>
      <w:r>
        <w:rPr>
          <w:rFonts w:hint="eastAsia" w:ascii="仿宋" w:hAnsi="仿宋" w:eastAsia="仿宋" w:cs="仿宋"/>
          <w:color w:val="000000"/>
          <w:kern w:val="0"/>
          <w:sz w:val="24"/>
          <w:szCs w:val="24"/>
        </w:rPr>
        <w:t>Feng Q</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"https://www.ncbi.nlm.nih.gov/pubmed/?term=Yang%20W%5BAuthor%5D&amp;cauthor=true&amp;cauthor_uid=30496729" </w:instrText>
      </w:r>
      <w:r>
        <w:fldChar w:fldCharType="separate"/>
      </w:r>
      <w:r>
        <w:rPr>
          <w:rFonts w:hint="eastAsia" w:ascii="仿宋" w:hAnsi="仿宋" w:eastAsia="仿宋" w:cs="仿宋"/>
          <w:color w:val="000000"/>
          <w:kern w:val="0"/>
          <w:sz w:val="24"/>
          <w:szCs w:val="24"/>
        </w:rPr>
        <w:t>Yang W</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"https://www.ncbi.nlm.nih.gov/pubmed/?term=Gao%20Z%5BAuthor%5D&amp;cauthor=true&amp;cauthor_uid=30496729"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Gao Z</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"https://www.ncbi.nlm.nih.gov/pubmed/?term=Ruan%20X%5BAuthor%5D&amp;cauthor=true&amp;cauthor_uid=30496729" </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Ruan X</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w:t>
      </w:r>
      <w:r>
        <w:fldChar w:fldCharType="begin"/>
      </w:r>
      <w:r>
        <w:instrText xml:space="preserve"> HYPERLINK "https://www.ncbi.nlm.nih.gov/pubmed/?term=Zhang%20Y%5BAuthor%5D&amp;cauthor=true&amp;cauthor_uid=30496729" </w:instrText>
      </w:r>
      <w:r>
        <w:fldChar w:fldCharType="separate"/>
      </w:r>
      <w:r>
        <w:rPr>
          <w:rFonts w:hint="eastAsia" w:ascii="仿宋" w:hAnsi="仿宋" w:eastAsia="仿宋" w:cs="仿宋"/>
          <w:color w:val="000000"/>
          <w:kern w:val="0"/>
          <w:sz w:val="24"/>
          <w:szCs w:val="24"/>
        </w:rPr>
        <w:t>Zhang Y</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Up-regulation of P-gp via NF-κB activation confers protection against oxidative damage in the retinal pigment epithelium cells. </w:t>
      </w:r>
      <w:r>
        <w:fldChar w:fldCharType="begin"/>
      </w:r>
      <w:r>
        <w:instrText xml:space="preserve"> HYPERLINK "https://www.ncbi.nlm.nih.gov/pubmed/30496729" \o "Experimental eye research." </w:instrText>
      </w:r>
      <w:r>
        <w:fldChar w:fldCharType="separate"/>
      </w:r>
      <w:r>
        <w:rPr>
          <w:rFonts w:hint="eastAsia" w:ascii="仿宋" w:hAnsi="仿宋" w:eastAsia="仿宋" w:cs="仿宋"/>
          <w:color w:val="000000"/>
          <w:kern w:val="0"/>
          <w:sz w:val="24"/>
          <w:szCs w:val="24"/>
        </w:rPr>
        <w:t>Exp Eye Res.</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2019;181:367-373. </w:t>
      </w:r>
    </w:p>
    <w:p>
      <w:pPr>
        <w:pStyle w:val="13"/>
        <w:numPr>
          <w:ilvl w:val="0"/>
          <w:numId w:val="2"/>
        </w:numPr>
        <w:shd w:val="clear" w:color="auto" w:fill="FFFFFF"/>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Zhang Y, Li C, Sun X, Kuang X, Ruan X</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High glucose decreases expression and activity of p-glycoprotein in cultured human retinal pigment epithelium possibly through iNOS induction. PLoS One. 2012;7: e31631. </w:t>
      </w:r>
    </w:p>
    <w:p>
      <w:pPr>
        <w:pStyle w:val="13"/>
        <w:numPr>
          <w:ilvl w:val="0"/>
          <w:numId w:val="2"/>
        </w:numPr>
        <w:shd w:val="clear" w:color="auto" w:fill="FFFFFF"/>
        <w:spacing w:after="156" w:afterLines="50"/>
        <w:ind w:left="420" w:hanging="420" w:hangingChars="200"/>
        <w:jc w:val="left"/>
        <w:rPr>
          <w:rFonts w:ascii="仿宋" w:hAnsi="仿宋" w:eastAsia="仿宋" w:cs="仿宋"/>
          <w:color w:val="000000"/>
          <w:kern w:val="0"/>
          <w:sz w:val="24"/>
          <w:szCs w:val="24"/>
        </w:rPr>
      </w:pPr>
      <w:r>
        <w:fldChar w:fldCharType="begin"/>
      </w:r>
      <w:r>
        <w:instrText xml:space="preserve"> HYPERLINK "https://www.ncbi.nlm.nih.gov/pubmed/?term=Zhang%20YH%5BAuthor%5D&amp;cauthor=true&amp;cauthor_uid=28730106" </w:instrText>
      </w:r>
      <w:r>
        <w:fldChar w:fldCharType="separate"/>
      </w:r>
      <w:r>
        <w:rPr>
          <w:rFonts w:hint="eastAsia" w:ascii="仿宋" w:hAnsi="仿宋" w:eastAsia="仿宋" w:cs="仿宋"/>
          <w:color w:val="000000"/>
          <w:kern w:val="0"/>
          <w:sz w:val="24"/>
          <w:szCs w:val="24"/>
        </w:rPr>
        <w:t>Zhang YH</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w:t>
      </w:r>
      <w:r>
        <w:fldChar w:fldCharType="begin"/>
      </w:r>
      <w:r>
        <w:instrText xml:space="preserve"> HYPERLINK "https://www.ncbi.nlm.nih.gov/pubmed/?term=Li%20J%5BAuthor%5D&amp;cauthor=true&amp;cauthor_uid=28730106" </w:instrText>
      </w:r>
      <w:r>
        <w:fldChar w:fldCharType="separate"/>
      </w:r>
      <w:r>
        <w:rPr>
          <w:rFonts w:hint="eastAsia" w:ascii="仿宋" w:hAnsi="仿宋" w:eastAsia="仿宋" w:cs="仿宋"/>
          <w:color w:val="000000"/>
          <w:kern w:val="0"/>
          <w:sz w:val="24"/>
          <w:szCs w:val="24"/>
        </w:rPr>
        <w:t>Li J</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w:t>
      </w:r>
      <w:r>
        <w:fldChar w:fldCharType="begin"/>
      </w:r>
      <w:r>
        <w:instrText xml:space="preserve"> HYPERLINK "https://www.ncbi.nlm.nih.gov/pubmed/?term=Yang%20WZ%5BAuthor%5D&amp;cauthor=true&amp;cauthor_uid=28730106" </w:instrText>
      </w:r>
      <w:r>
        <w:fldChar w:fldCharType="separate"/>
      </w:r>
      <w:r>
        <w:rPr>
          <w:rFonts w:hint="eastAsia" w:ascii="仿宋" w:hAnsi="仿宋" w:eastAsia="仿宋" w:cs="仿宋"/>
          <w:color w:val="000000"/>
          <w:kern w:val="0"/>
          <w:sz w:val="24"/>
          <w:szCs w:val="24"/>
        </w:rPr>
        <w:t>Yang WZ</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w:t>
      </w:r>
      <w:r>
        <w:fldChar w:fldCharType="begin"/>
      </w:r>
      <w:r>
        <w:instrText xml:space="preserve"> HYPERLINK "https://www.ncbi.nlm.nih.gov/pubmed/?term=Xian%20ZH%5BAuthor%5D&amp;cauthor=true&amp;cauthor_uid=28730106" </w:instrText>
      </w:r>
      <w:r>
        <w:fldChar w:fldCharType="separate"/>
      </w:r>
      <w:r>
        <w:rPr>
          <w:rFonts w:hint="eastAsia" w:ascii="仿宋" w:hAnsi="仿宋" w:eastAsia="仿宋" w:cs="仿宋"/>
          <w:color w:val="000000"/>
          <w:kern w:val="0"/>
          <w:sz w:val="24"/>
          <w:szCs w:val="24"/>
        </w:rPr>
        <w:t>Xian ZH</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w:t>
      </w:r>
      <w:r>
        <w:fldChar w:fldCharType="begin"/>
      </w:r>
      <w:r>
        <w:instrText xml:space="preserve"> HYPERLINK "https://www.ncbi.nlm.nih.gov/pubmed/?term=Feng%20QT%5BAuthor%5D&amp;cauthor=true&amp;cauthor_uid=28730106" </w:instrText>
      </w:r>
      <w:r>
        <w:fldChar w:fldCharType="separate"/>
      </w:r>
      <w:r>
        <w:rPr>
          <w:rFonts w:hint="eastAsia" w:ascii="仿宋" w:hAnsi="仿宋" w:eastAsia="仿宋" w:cs="仿宋"/>
          <w:color w:val="000000"/>
          <w:kern w:val="0"/>
          <w:sz w:val="24"/>
          <w:szCs w:val="24"/>
        </w:rPr>
        <w:t>Feng QT</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w:t>
      </w:r>
      <w:r>
        <w:fldChar w:fldCharType="begin"/>
      </w:r>
      <w:r>
        <w:instrText xml:space="preserve"> HYPERLINK "https://www.ncbi.nlm.nih.gov/pubmed/?term=Ruan%20XC%5BAuthor%5D&amp;cauthor=true&amp;cauthor_uid=28730106" </w:instrText>
      </w:r>
      <w:r>
        <w:fldChar w:fldCharType="separate"/>
      </w:r>
      <w:r>
        <w:rPr>
          <w:rFonts w:hint="eastAsia" w:ascii="仿宋" w:hAnsi="仿宋" w:eastAsia="仿宋" w:cs="仿宋"/>
          <w:color w:val="000000"/>
          <w:kern w:val="0"/>
          <w:sz w:val="24"/>
          <w:szCs w:val="24"/>
        </w:rPr>
        <w:t>Ruan XC</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Mitochondrial expression and activity of P-glycoprotein under oxidative stress in outer blood-retinal barrier.</w:t>
      </w:r>
      <w:r>
        <w:fldChar w:fldCharType="begin"/>
      </w:r>
      <w:r>
        <w:instrText xml:space="preserve"> HYPERLINK "https://www.ncbi.nlm.nih.gov/pubmed/?term=Mitochondrial+expression+and+activity+of+P-glycoprotein+under+oxidative+stress+in+outer+blood-retinal+barrier" \o "International journal of ophthalmology." </w:instrText>
      </w:r>
      <w:r>
        <w:fldChar w:fldCharType="separate"/>
      </w:r>
      <w:r>
        <w:rPr>
          <w:rFonts w:hint="eastAsia" w:ascii="仿宋" w:hAnsi="仿宋" w:eastAsia="仿宋" w:cs="仿宋"/>
          <w:color w:val="000000"/>
          <w:kern w:val="0"/>
          <w:sz w:val="24"/>
          <w:szCs w:val="24"/>
        </w:rPr>
        <w:t>Int J Ophthalmol.</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2017;10(7):1055-1063. </w:t>
      </w:r>
    </w:p>
    <w:p>
      <w:pPr>
        <w:pStyle w:val="13"/>
        <w:numPr>
          <w:ilvl w:val="0"/>
          <w:numId w:val="2"/>
        </w:numPr>
        <w:shd w:val="clear" w:color="auto" w:fill="FFFFFF"/>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Zhang Y, Gao Q, Duan S, He Y, Sun X, Jiang R, Duan Y, Zhong X, Ge J</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w:t>
      </w:r>
      <w:r>
        <w:fldChar w:fldCharType="begin"/>
      </w:r>
      <w:r>
        <w:instrText xml:space="preserve"> HYPERLINK "https://pubmed.ncbi.nlm.nih.gov/18523666/" </w:instrText>
      </w:r>
      <w:r>
        <w:fldChar w:fldCharType="separate"/>
      </w:r>
      <w:r>
        <w:rPr>
          <w:rFonts w:hint="eastAsia" w:ascii="仿宋" w:hAnsi="仿宋" w:eastAsia="仿宋" w:cs="仿宋"/>
          <w:color w:val="000000"/>
          <w:kern w:val="0"/>
          <w:sz w:val="24"/>
          <w:szCs w:val="24"/>
        </w:rPr>
        <w:t>Upregulation of Copine1 in trabecular meshwork cells of POAG patients: a membrane proteomics approach.</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Mol Vis. 2008;14:1028-36. </w:t>
      </w:r>
    </w:p>
    <w:p>
      <w:pPr>
        <w:pStyle w:val="13"/>
        <w:numPr>
          <w:ilvl w:val="0"/>
          <w:numId w:val="2"/>
        </w:numPr>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Song J, Ying Y, Wang W, Liu X, Xu X</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Wei X</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Ruan X</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w:t>
      </w:r>
      <w:r>
        <w:fldChar w:fldCharType="begin"/>
      </w:r>
      <w:r>
        <w:instrText xml:space="preserve"> HYPERLINK "https://pubmed.ncbi.nlm.nih.gov/29155323/" </w:instrText>
      </w:r>
      <w:r>
        <w:fldChar w:fldCharType="separate"/>
      </w:r>
      <w:r>
        <w:rPr>
          <w:rFonts w:hint="eastAsia" w:ascii="仿宋" w:hAnsi="仿宋" w:eastAsia="仿宋" w:cs="仿宋"/>
          <w:color w:val="000000"/>
          <w:kern w:val="0"/>
          <w:sz w:val="24"/>
          <w:szCs w:val="24"/>
        </w:rPr>
        <w:t>The role of P2X7R/ERK signaling in dorsal root ganglia satellite glial cells in the development of chronic postsurgical pain induced by skin/muscle incision and retraction (SMIR).</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Brain Behav Immun. 2018;69:180-189.</w:t>
      </w:r>
    </w:p>
    <w:p>
      <w:pPr>
        <w:pStyle w:val="13"/>
        <w:numPr>
          <w:ilvl w:val="0"/>
          <w:numId w:val="2"/>
        </w:numPr>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Liu B, Rasool S, Yang Z, Glabe CG, Schreiber SS, Ge J</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Tan Z</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w:t>
      </w:r>
      <w:r>
        <w:fldChar w:fldCharType="begin"/>
      </w:r>
      <w:r>
        <w:instrText xml:space="preserve"> HYPERLINK "https://pubmed.ncbi.nlm.nih.gov/19834067/" </w:instrText>
      </w:r>
      <w:r>
        <w:fldChar w:fldCharType="separate"/>
      </w:r>
      <w:r>
        <w:rPr>
          <w:rFonts w:hint="eastAsia" w:ascii="仿宋" w:hAnsi="仿宋" w:eastAsia="仿宋" w:cs="仿宋"/>
          <w:color w:val="000000"/>
          <w:kern w:val="0"/>
          <w:sz w:val="24"/>
          <w:szCs w:val="24"/>
        </w:rPr>
        <w:t>Amyloid-peptide vaccinations reduce {beta}-amyloid plaques but exacerbate vascular deposition and inflammation in the retina of Alzheimer's transgenic mice.</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Am J Pathol. 2009;175(5):2099-110. </w:t>
      </w:r>
    </w:p>
    <w:p>
      <w:pPr>
        <w:pStyle w:val="13"/>
        <w:numPr>
          <w:ilvl w:val="0"/>
          <w:numId w:val="2"/>
        </w:numPr>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Zhi</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"https://pubmed.ncbi.nlm.nih.gov/?term=Dong+ZZ&amp;cauthor_id=29862171"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-Zhang Dong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"https://pubmed.ncbi.nlm.nih.gov/?term=Li+J&amp;cauthor_id=29862171" </w:instrText>
      </w:r>
      <w:r>
        <w:fldChar w:fldCharType="separate"/>
      </w:r>
      <w:r>
        <w:rPr>
          <w:rFonts w:hint="eastAsia" w:ascii="仿宋" w:hAnsi="仿宋" w:eastAsia="仿宋" w:cs="仿宋"/>
          <w:color w:val="000000"/>
          <w:kern w:val="0"/>
          <w:sz w:val="24"/>
          <w:szCs w:val="24"/>
        </w:rPr>
        <w:t>Juan Li</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"https://pubmed.ncbi.nlm.nih.gov/?term=Gan+YF&amp;cauthor_id=29862171" </w:instrText>
      </w:r>
      <w:r>
        <w:fldChar w:fldCharType="separate"/>
      </w:r>
      <w:r>
        <w:rPr>
          <w:rFonts w:hint="eastAsia" w:ascii="仿宋" w:hAnsi="仿宋" w:eastAsia="仿宋" w:cs="仿宋"/>
          <w:color w:val="000000"/>
          <w:kern w:val="0"/>
          <w:sz w:val="24"/>
          <w:szCs w:val="24"/>
        </w:rPr>
        <w:t>Yi-Feng Gan</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"https://pubmed.ncbi.nlm.nih.gov/?term=Sun+XR&amp;cauthor_id=29862171" </w:instrText>
      </w:r>
      <w:r>
        <w:fldChar w:fldCharType="separate"/>
      </w:r>
      <w:r>
        <w:rPr>
          <w:rFonts w:hint="eastAsia" w:ascii="仿宋" w:hAnsi="仿宋" w:eastAsia="仿宋" w:cs="仿宋"/>
          <w:color w:val="000000"/>
          <w:kern w:val="0"/>
          <w:sz w:val="24"/>
          <w:szCs w:val="24"/>
        </w:rPr>
        <w:t>Xue-Rong Sun</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"https://pubmed.ncbi.nlm.nih.gov/?term=Leng+YX&amp;cauthor_id=29862171" </w:instrText>
      </w:r>
      <w:r>
        <w:fldChar w:fldCharType="separate"/>
      </w:r>
      <w:r>
        <w:rPr>
          <w:rFonts w:hint="eastAsia" w:ascii="仿宋" w:hAnsi="仿宋" w:eastAsia="仿宋" w:cs="仿宋"/>
          <w:color w:val="000000"/>
          <w:kern w:val="0"/>
          <w:sz w:val="24"/>
          <w:szCs w:val="24"/>
        </w:rPr>
        <w:t>Yun-Xia Leng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"https://pubmed.ncbi.nlm.nih.gov/?term=Ge+J&amp;cauthor_id=29862171" </w:instrText>
      </w:r>
      <w:r>
        <w:fldChar w:fldCharType="separate"/>
      </w:r>
      <w:r>
        <w:rPr>
          <w:rFonts w:hint="eastAsia" w:ascii="仿宋" w:hAnsi="仿宋" w:eastAsia="仿宋" w:cs="仿宋"/>
          <w:color w:val="000000"/>
          <w:kern w:val="0"/>
          <w:sz w:val="24"/>
          <w:szCs w:val="24"/>
        </w:rPr>
        <w:t>Jian Ge</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Amyloid beta deposition related retinal pigment epithelium cell impairment and subretinal microglia activation in aged APPswePS1 transgenic mice. Int J Ophthalmol. 2018;11(5):747-755. </w:t>
      </w:r>
    </w:p>
    <w:p>
      <w:pPr>
        <w:pStyle w:val="13"/>
        <w:numPr>
          <w:ilvl w:val="0"/>
          <w:numId w:val="2"/>
        </w:numPr>
        <w:adjustRightInd w:val="0"/>
        <w:snapToGrid w:val="0"/>
        <w:spacing w:after="156" w:afterLines="50"/>
        <w:ind w:left="420" w:hanging="420" w:hangingChars="200"/>
        <w:jc w:val="left"/>
        <w:rPr>
          <w:rFonts w:ascii="仿宋" w:hAnsi="仿宋" w:eastAsia="仿宋" w:cs="仿宋"/>
          <w:color w:val="000000"/>
          <w:kern w:val="0"/>
          <w:sz w:val="24"/>
          <w:szCs w:val="24"/>
        </w:rPr>
      </w:pPr>
      <w:r>
        <w:fldChar w:fldCharType="begin"/>
      </w:r>
      <w:r>
        <w:instrText xml:space="preserve"> HYPERLINK "https://pubmed.ncbi.nlm.nih.gov/?term=Dong+Z&amp;cauthor_id=22443196" </w:instrText>
      </w:r>
      <w:r>
        <w:fldChar w:fldCharType="separate"/>
      </w:r>
      <w:r>
        <w:rPr>
          <w:rFonts w:hint="eastAsia" w:ascii="仿宋" w:hAnsi="仿宋" w:eastAsia="仿宋" w:cs="仿宋"/>
          <w:color w:val="000000"/>
          <w:kern w:val="0"/>
          <w:sz w:val="24"/>
          <w:szCs w:val="24"/>
        </w:rPr>
        <w:t>Zhizhang Dong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"https://pubmed.ncbi.nlm.nih.gov/?term=Li+J&amp;cauthor_id=22443196" </w:instrText>
      </w:r>
      <w:r>
        <w:fldChar w:fldCharType="separate"/>
      </w:r>
      <w:r>
        <w:rPr>
          <w:rFonts w:hint="eastAsia" w:ascii="仿宋" w:hAnsi="仿宋" w:eastAsia="仿宋" w:cs="仿宋"/>
          <w:color w:val="000000"/>
          <w:kern w:val="0"/>
          <w:sz w:val="24"/>
          <w:szCs w:val="24"/>
        </w:rPr>
        <w:t>Juan Li</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"https://pubmed.ncbi.nlm.nih.gov/?term=Leng+Y&amp;cauthor_id=22443196"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Yunxia Leng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"https://pubmed.ncbi.nlm.nih.gov/?term=Sun+X&amp;cauthor_id=22443196" </w:instrText>
      </w:r>
      <w:r>
        <w:fldChar w:fldCharType="separate"/>
      </w:r>
      <w:r>
        <w:rPr>
          <w:rFonts w:hint="eastAsia" w:ascii="仿宋" w:hAnsi="仿宋" w:eastAsia="仿宋" w:cs="仿宋"/>
          <w:color w:val="000000"/>
          <w:kern w:val="0"/>
          <w:sz w:val="24"/>
          <w:szCs w:val="24"/>
        </w:rPr>
        <w:t>Xuerong Sun</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"https://pubmed.ncbi.nlm.nih.gov/?term=Hu+H&amp;cauthor_id=22443196"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Huiling Hu</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"https://pubmed.ncbi.nlm.nih.gov/?term=He+Y&amp;cauthor_id=22443196" </w:instrText>
      </w:r>
      <w:r>
        <w:fldChar w:fldCharType="separate"/>
      </w:r>
      <w:r>
        <w:rPr>
          <w:rFonts w:hint="eastAsia" w:ascii="仿宋" w:hAnsi="仿宋" w:eastAsia="仿宋" w:cs="仿宋"/>
          <w:color w:val="000000"/>
          <w:kern w:val="0"/>
          <w:sz w:val="24"/>
          <w:szCs w:val="24"/>
        </w:rPr>
        <w:t>Yuan He</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"https://pubmed.ncbi.nlm.nih.gov/?term=Tan+Z&amp;cauthor_id=22443196" </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Zhiqun Tan</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"https://pubmed.ncbi.nlm.nih.gov/?term=Ge+J&amp;cauthor_id=22443196"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Jian Ge</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Cyclic intensive light exposure induces retinal lesions similar to age-related macular degeneration in APPswe/PS1 bigenic mice. BMC Neurosci. 2012;13:34.</w:t>
      </w:r>
    </w:p>
    <w:p>
      <w:pPr>
        <w:pStyle w:val="13"/>
        <w:numPr>
          <w:ilvl w:val="0"/>
          <w:numId w:val="2"/>
        </w:numPr>
        <w:adjustRightInd w:val="0"/>
        <w:snapToGrid w:val="0"/>
        <w:spacing w:after="156" w:afterLines="50"/>
        <w:ind w:left="420" w:hanging="420" w:hangingChars="200"/>
        <w:jc w:val="left"/>
        <w:rPr>
          <w:rFonts w:ascii="仿宋" w:hAnsi="仿宋" w:eastAsia="仿宋" w:cs="仿宋"/>
          <w:color w:val="000000"/>
          <w:kern w:val="0"/>
          <w:sz w:val="24"/>
          <w:szCs w:val="24"/>
        </w:rPr>
      </w:pPr>
      <w:r>
        <w:fldChar w:fldCharType="begin"/>
      </w:r>
      <w:r>
        <w:instrText xml:space="preserve"> HYPERLINK "https://pubmed.ncbi.nlm.nih.gov/?term=Li+J&amp;cauthor_id=21640074" </w:instrText>
      </w:r>
      <w:r>
        <w:fldChar w:fldCharType="separate"/>
      </w:r>
      <w:r>
        <w:rPr>
          <w:rFonts w:hint="eastAsia" w:ascii="仿宋" w:hAnsi="仿宋" w:eastAsia="仿宋" w:cs="仿宋"/>
          <w:color w:val="000000"/>
          <w:kern w:val="0"/>
          <w:sz w:val="24"/>
          <w:szCs w:val="24"/>
        </w:rPr>
        <w:t>Juan Li</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"https://pubmed.ncbi.nlm.nih.gov/?term=Dong+Z&amp;cauthor_id=21640074"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Zhizhang Dong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"https://pubmed.ncbi.nlm.nih.gov/?term=Liu+B&amp;cauthor_id=21640074"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Bingqian Liu</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"https://pubmed.ncbi.nlm.nih.gov/?term=Zhuo+Y&amp;cauthor_id=21640074"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Yehong Zhuo</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fldChar w:fldCharType="begin"/>
      </w:r>
      <w:r>
        <w:instrText xml:space="preserve"> HYPERLINK "https://pubmed.ncbi.nlm.nih.gov/?term=Sun+X&amp;cauthor_id=21640074" </w:instrText>
      </w:r>
      <w:r>
        <w:fldChar w:fldCharType="separate"/>
      </w:r>
      <w:r>
        <w:rPr>
          <w:rFonts w:hint="eastAsia" w:ascii="仿宋" w:hAnsi="仿宋" w:eastAsia="仿宋" w:cs="仿宋"/>
          <w:color w:val="000000"/>
          <w:kern w:val="0"/>
          <w:sz w:val="24"/>
          <w:szCs w:val="24"/>
        </w:rPr>
        <w:t>Xuerong Sun</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"https://pubmed.ncbi.nlm.nih.gov/?term=Yang+Z&amp;cauthor_id=21640074"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Zhikuan Yang</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"https://pubmed.ncbi.nlm.nih.gov/?term=Ge+J&amp;cauthor_id=21640074" </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Jian Ge</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w:t>
      </w:r>
      <w:r>
        <w:fldChar w:fldCharType="begin"/>
      </w:r>
      <w:r>
        <w:instrText xml:space="preserve"> HYPERLINK "https://pubmed.ncbi.nlm.nih.gov/?term=Tan+Z&amp;cauthor_id=21640074" </w:instrText>
      </w:r>
      <w:r>
        <w:fldChar w:fldCharType="separate"/>
      </w:r>
      <w:r>
        <w:rPr>
          <w:rFonts w:hint="eastAsia" w:ascii="仿宋" w:hAnsi="仿宋" w:eastAsia="仿宋" w:cs="仿宋"/>
          <w:color w:val="000000"/>
          <w:kern w:val="0"/>
          <w:sz w:val="24"/>
          <w:szCs w:val="24"/>
        </w:rPr>
        <w:t>Zhiqun Tan</w:t>
      </w:r>
      <w:r>
        <w:rPr>
          <w:rFonts w:hint="eastAsia" w:ascii="仿宋" w:hAnsi="仿宋" w:eastAsia="仿宋" w:cs="仿宋"/>
          <w:color w:val="000000"/>
          <w:kern w:val="0"/>
          <w:sz w:val="24"/>
          <w:szCs w:val="24"/>
        </w:rPr>
        <w:fldChar w:fldCharType="end"/>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Hypoxia induces beta-amyloid in association with death of RGC-5 cells in culture. BiochemBiophys Res Commun. 2011;410(1):40-44. </w:t>
      </w:r>
    </w:p>
    <w:p>
      <w:pPr>
        <w:pStyle w:val="13"/>
        <w:numPr>
          <w:ilvl w:val="0"/>
          <w:numId w:val="2"/>
        </w:numPr>
        <w:adjustRightInd w:val="0"/>
        <w:snapToGrid w:val="0"/>
        <w:spacing w:after="156" w:afterLines="50"/>
        <w:ind w:left="480" w:hanging="480" w:hanging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Chen M, Chen Q, Sun X, Shen W, Liu B, Zhong X, Leng Y, Li C, Zhang W, Chai F, Huang B, Gao Q, Xiang AP, Zhuo Y, Ge J</w:t>
      </w:r>
      <w:r>
        <w:rPr>
          <w:rFonts w:ascii="Cambria Math" w:hAnsi="Cambria Math" w:eastAsia="仿宋" w:cs="Cambria Math"/>
          <w:b/>
          <w:color w:val="000000"/>
          <w:kern w:val="0"/>
          <w:sz w:val="24"/>
          <w:szCs w:val="24"/>
          <w:vertAlign w:val="superscript"/>
        </w:rPr>
        <w:t>∗</w:t>
      </w:r>
      <w:r>
        <w:rPr>
          <w:rFonts w:hint="eastAsia" w:ascii="仿宋" w:hAnsi="仿宋" w:eastAsia="仿宋" w:cs="仿宋"/>
          <w:color w:val="000000"/>
          <w:kern w:val="0"/>
          <w:sz w:val="24"/>
          <w:szCs w:val="24"/>
        </w:rPr>
        <w:t xml:space="preserve">. </w:t>
      </w:r>
      <w:r>
        <w:fldChar w:fldCharType="begin"/>
      </w:r>
      <w:r>
        <w:instrText xml:space="preserve"> HYPERLINK "https://pubmed.ncbi.nlm.nih.gov/20484577/" </w:instrText>
      </w:r>
      <w:r>
        <w:fldChar w:fldCharType="separate"/>
      </w:r>
      <w:r>
        <w:rPr>
          <w:rFonts w:hint="eastAsia" w:ascii="仿宋" w:hAnsi="仿宋" w:eastAsia="仿宋" w:cs="仿宋"/>
          <w:color w:val="000000"/>
          <w:kern w:val="0"/>
          <w:sz w:val="24"/>
          <w:szCs w:val="24"/>
        </w:rPr>
        <w:t>Generation of retinal ganglion-like cells from reprogrammed mouse fibroblasts.</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 xml:space="preserve"> Invest Ophthalmol Vis Sci. 2010;51(11):5970-5978. </w:t>
      </w:r>
    </w:p>
    <w:p>
      <w:pPr>
        <w:pStyle w:val="13"/>
        <w:numPr>
          <w:ilvl w:val="0"/>
          <w:numId w:val="2"/>
        </w:numPr>
        <w:adjustRightInd w:val="0"/>
        <w:snapToGrid w:val="0"/>
        <w:spacing w:after="156" w:afterLines="50"/>
        <w:ind w:left="480" w:hanging="480" w:hangingChars="200"/>
        <w:jc w:val="left"/>
        <w:rPr>
          <w:rFonts w:ascii="仿宋" w:hAnsi="仿宋" w:eastAsia="仿宋" w:cs="仿宋"/>
          <w:b/>
          <w:sz w:val="24"/>
          <w:szCs w:val="24"/>
        </w:rPr>
      </w:pPr>
      <w:r>
        <w:rPr>
          <w:rFonts w:hint="eastAsia" w:ascii="仿宋" w:hAnsi="仿宋" w:eastAsia="仿宋" w:cs="仿宋"/>
          <w:sz w:val="24"/>
          <w:szCs w:val="24"/>
        </w:rPr>
        <w:t>张跃红,饶志波,刘娟,唐浩英,卢敏</w:t>
      </w:r>
      <w:r>
        <w:rPr>
          <w:rFonts w:ascii="Cambria Math" w:hAnsi="Cambria Math" w:eastAsia="仿宋" w:cs="Cambria Math"/>
          <w:b/>
          <w:color w:val="000000"/>
          <w:kern w:val="0"/>
          <w:sz w:val="24"/>
          <w:szCs w:val="24"/>
          <w:vertAlign w:val="superscript"/>
        </w:rPr>
        <w:t>∗</w:t>
      </w:r>
      <w:r>
        <w:rPr>
          <w:rFonts w:hint="eastAsia" w:ascii="仿宋" w:hAnsi="仿宋" w:eastAsia="仿宋" w:cs="仿宋"/>
          <w:sz w:val="24"/>
          <w:szCs w:val="24"/>
        </w:rPr>
        <w:t>.低浓度β-淀粉样蛋白抑制小鼠视网膜色素上皮细胞P-糖蛋白的功能性表达.</w:t>
      </w:r>
      <w:r>
        <w:fldChar w:fldCharType="begin"/>
      </w:r>
      <w:r>
        <w:instrText xml:space="preserve"> HYPERLINK "http://www.cqvip.com/QK/92134X/201509/" </w:instrText>
      </w:r>
      <w:r>
        <w:fldChar w:fldCharType="separate"/>
      </w:r>
      <w:r>
        <w:rPr>
          <w:rFonts w:hint="eastAsia" w:ascii="仿宋" w:hAnsi="仿宋" w:eastAsia="仿宋" w:cs="仿宋"/>
          <w:sz w:val="24"/>
          <w:szCs w:val="24"/>
        </w:rPr>
        <w:t>眼科新进展.2015;9:</w:t>
      </w:r>
      <w:r>
        <w:rPr>
          <w:rFonts w:hint="eastAsia" w:ascii="仿宋" w:hAnsi="仿宋" w:eastAsia="仿宋" w:cs="仿宋"/>
          <w:sz w:val="24"/>
          <w:szCs w:val="24"/>
        </w:rPr>
        <w:fldChar w:fldCharType="end"/>
      </w:r>
      <w:r>
        <w:rPr>
          <w:rFonts w:hint="eastAsia" w:ascii="仿宋" w:hAnsi="仿宋" w:eastAsia="仿宋" w:cs="仿宋"/>
          <w:sz w:val="24"/>
          <w:szCs w:val="24"/>
        </w:rPr>
        <w:t>801-805.</w:t>
      </w:r>
      <w:r>
        <w:rPr>
          <w:rFonts w:hint="eastAsia" w:ascii="仿宋" w:hAnsi="仿宋" w:eastAsia="仿宋" w:cs="仿宋"/>
          <w:b/>
          <w:sz w:val="24"/>
          <w:szCs w:val="24"/>
        </w:rPr>
        <w:t xml:space="preserve"> </w:t>
      </w:r>
    </w:p>
    <w:p>
      <w:pPr>
        <w:pStyle w:val="13"/>
        <w:numPr>
          <w:ilvl w:val="0"/>
          <w:numId w:val="2"/>
        </w:numPr>
        <w:adjustRightInd w:val="0"/>
        <w:snapToGrid w:val="0"/>
        <w:spacing w:after="156" w:afterLines="50"/>
        <w:ind w:left="480" w:hanging="480" w:hangingChars="200"/>
        <w:jc w:val="left"/>
        <w:rPr>
          <w:rFonts w:ascii="仿宋" w:hAnsi="仿宋" w:eastAsia="仿宋" w:cs="仿宋"/>
          <w:b/>
          <w:sz w:val="24"/>
          <w:szCs w:val="24"/>
        </w:rPr>
      </w:pPr>
      <w:r>
        <w:rPr>
          <w:rFonts w:hint="eastAsia" w:ascii="仿宋" w:hAnsi="仿宋" w:eastAsia="仿宋" w:cs="仿宋"/>
          <w:sz w:val="24"/>
          <w:szCs w:val="24"/>
        </w:rPr>
        <w:t>苏健,阮祥才</w:t>
      </w:r>
      <w:r>
        <w:rPr>
          <w:rFonts w:ascii="Cambria Math" w:hAnsi="Cambria Math" w:eastAsia="仿宋" w:cs="Cambria Math"/>
          <w:b/>
          <w:color w:val="000000"/>
          <w:kern w:val="0"/>
          <w:sz w:val="24"/>
          <w:szCs w:val="24"/>
          <w:vertAlign w:val="superscript"/>
        </w:rPr>
        <w:t>∗</w:t>
      </w:r>
      <w:r>
        <w:rPr>
          <w:rFonts w:hint="eastAsia" w:ascii="仿宋" w:hAnsi="仿宋" w:eastAsia="仿宋" w:cs="仿宋"/>
          <w:sz w:val="24"/>
          <w:szCs w:val="24"/>
        </w:rPr>
        <w:t>,张跃红,佘守章,许立新.吗啡对小鼠脑微血管内皮细胞P-糖蛋白表达的影响.中华麻醉学杂志.2010;30:700-702.</w:t>
      </w:r>
      <w:r>
        <w:rPr>
          <w:rFonts w:hint="eastAsia" w:ascii="仿宋" w:hAnsi="仿宋" w:eastAsia="仿宋" w:cs="仿宋"/>
          <w:b/>
          <w:sz w:val="24"/>
          <w:szCs w:val="24"/>
        </w:rPr>
        <w:t xml:space="preserve"> </w:t>
      </w:r>
    </w:p>
    <w:p>
      <w:pPr>
        <w:pStyle w:val="13"/>
        <w:numPr>
          <w:ilvl w:val="0"/>
          <w:numId w:val="2"/>
        </w:numPr>
        <w:adjustRightInd w:val="0"/>
        <w:snapToGrid w:val="0"/>
        <w:spacing w:after="156" w:afterLines="50"/>
        <w:ind w:left="480" w:hanging="480" w:hangingChars="200"/>
        <w:jc w:val="left"/>
        <w:rPr>
          <w:rFonts w:ascii="仿宋" w:hAnsi="仿宋" w:eastAsia="仿宋" w:cs="仿宋"/>
          <w:b/>
          <w:sz w:val="24"/>
          <w:szCs w:val="24"/>
        </w:rPr>
      </w:pPr>
      <w:r>
        <w:rPr>
          <w:rFonts w:hint="eastAsia" w:ascii="仿宋" w:hAnsi="仿宋" w:eastAsia="仿宋" w:cs="仿宋"/>
          <w:sz w:val="24"/>
          <w:szCs w:val="24"/>
        </w:rPr>
        <w:t>苏健,阮祥才</w:t>
      </w:r>
      <w:r>
        <w:rPr>
          <w:rFonts w:ascii="Cambria Math" w:hAnsi="Cambria Math" w:eastAsia="仿宋" w:cs="Cambria Math"/>
          <w:b/>
          <w:color w:val="000000"/>
          <w:kern w:val="0"/>
          <w:sz w:val="24"/>
          <w:szCs w:val="24"/>
          <w:vertAlign w:val="superscript"/>
        </w:rPr>
        <w:t>∗</w:t>
      </w:r>
      <w:r>
        <w:rPr>
          <w:rFonts w:hint="eastAsia" w:ascii="仿宋" w:hAnsi="仿宋" w:eastAsia="仿宋" w:cs="仿宋"/>
          <w:sz w:val="24"/>
          <w:szCs w:val="24"/>
        </w:rPr>
        <w:t>,张跃红,佘守章,许立新.吗啡和哌替啶对小鼠脑微血管内皮细胞P-糖蛋白表达的影响.南方医科大学学报.2010;30(8):1824-1826.</w:t>
      </w:r>
      <w:r>
        <w:rPr>
          <w:rFonts w:hint="eastAsia" w:ascii="仿宋" w:hAnsi="仿宋" w:eastAsia="仿宋" w:cs="仿宋"/>
          <w:b/>
          <w:sz w:val="24"/>
          <w:szCs w:val="24"/>
        </w:rPr>
        <w:t xml:space="preserve"> </w:t>
      </w:r>
    </w:p>
    <w:p>
      <w:pPr>
        <w:pStyle w:val="13"/>
        <w:numPr>
          <w:ilvl w:val="0"/>
          <w:numId w:val="2"/>
        </w:numPr>
        <w:adjustRightInd w:val="0"/>
        <w:snapToGrid w:val="0"/>
        <w:spacing w:after="156" w:afterLines="50"/>
        <w:ind w:left="480" w:hanging="480" w:hangingChars="200"/>
        <w:jc w:val="left"/>
        <w:rPr>
          <w:rFonts w:ascii="仿宋" w:hAnsi="仿宋" w:eastAsia="仿宋" w:cs="仿宋"/>
          <w:b/>
          <w:sz w:val="24"/>
          <w:szCs w:val="24"/>
        </w:rPr>
      </w:pPr>
      <w:r>
        <w:rPr>
          <w:rFonts w:hint="eastAsia" w:ascii="仿宋" w:hAnsi="仿宋" w:eastAsia="仿宋" w:cs="仿宋"/>
          <w:sz w:val="24"/>
          <w:szCs w:val="24"/>
        </w:rPr>
        <w:t>董志章,李娟,孙雪荣,葛坚</w:t>
      </w:r>
      <w:r>
        <w:rPr>
          <w:rFonts w:ascii="Cambria Math" w:hAnsi="Cambria Math" w:eastAsia="仿宋" w:cs="Cambria Math"/>
          <w:b/>
          <w:color w:val="000000"/>
          <w:kern w:val="0"/>
          <w:sz w:val="24"/>
          <w:szCs w:val="24"/>
          <w:vertAlign w:val="superscript"/>
        </w:rPr>
        <w:t>∗</w:t>
      </w:r>
      <w:r>
        <w:rPr>
          <w:rFonts w:hint="eastAsia" w:ascii="仿宋" w:hAnsi="仿宋" w:eastAsia="仿宋" w:cs="仿宋"/>
          <w:sz w:val="24"/>
          <w:szCs w:val="24"/>
        </w:rPr>
        <w:t>.TgAPPswePS1转基因鼠视网膜的功能损伤和Aβ斑块沉积.中华眼视光学与视觉科学杂志.2018;20(1):46-52.</w:t>
      </w:r>
      <w:r>
        <w:rPr>
          <w:rFonts w:hint="eastAsia" w:ascii="仿宋" w:hAnsi="仿宋" w:eastAsia="仿宋" w:cs="仿宋"/>
          <w:color w:val="0D0D0D"/>
          <w:spacing w:val="2"/>
          <w:sz w:val="24"/>
          <w:szCs w:val="24"/>
        </w:rPr>
        <w:t xml:space="preserve"> </w:t>
      </w:r>
    </w:p>
    <w:p>
      <w:pPr>
        <w:numPr>
          <w:ilvl w:val="0"/>
          <w:numId w:val="1"/>
        </w:numPr>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完成人情况</w:t>
      </w:r>
    </w:p>
    <w:p>
      <w:pPr>
        <w:spacing w:before="156" w:beforeLines="50" w:after="156" w:afterLines="50"/>
        <w:ind w:firstLine="488" w:firstLineChars="200"/>
        <w:rPr>
          <w:rFonts w:ascii="仿宋" w:hAnsi="仿宋" w:eastAsia="仿宋"/>
          <w:sz w:val="24"/>
          <w:szCs w:val="24"/>
        </w:rPr>
      </w:pPr>
      <w:r>
        <w:rPr>
          <w:rFonts w:ascii="仿宋" w:hAnsi="仿宋" w:eastAsia="仿宋"/>
          <w:color w:val="0D0D0D"/>
          <w:spacing w:val="2"/>
          <w:sz w:val="24"/>
          <w:szCs w:val="24"/>
        </w:rPr>
        <w:t>第一完成人：张跃红，主任医师，工作和完成单位：广州市第一人民医院眼科，对本项目的贡献：以第一完成人申请与项目直接相关的国家自然科学基金“早期AMD视网膜Aβ毒性作用与血视网膜外屏障P-糖蛋白关系的研究”和广东省医学科研基金“自噬在清除年龄相关黄斑变性发病过程中异常β-淀粉样蛋白聚集的作用”，负责该两项基金的设计、实施、总结分析、论文撰写和结题验收工作。通过一系列P-糖蛋白功能活性及其重要信号通路调控的研究证实，P-糖蛋白在血脑屏障和血视网膜屏障均具有活跃的转运功能，可以将包括Aβ在内的毒性底物及时外排，减少细胞内毒性底物的聚集和相应的细胞损伤，其转运活性的减弱是血脑屏障和血视网膜屏障Aβ异常沉积的机制之一。</w:t>
      </w:r>
    </w:p>
    <w:p>
      <w:pPr>
        <w:spacing w:before="156" w:beforeLines="50" w:after="156" w:afterLines="50"/>
        <w:ind w:firstLine="488" w:firstLineChars="200"/>
        <w:rPr>
          <w:rFonts w:ascii="仿宋" w:hAnsi="仿宋" w:eastAsia="仿宋"/>
          <w:sz w:val="24"/>
          <w:szCs w:val="24"/>
        </w:rPr>
      </w:pPr>
      <w:r>
        <w:rPr>
          <w:rFonts w:ascii="仿宋" w:hAnsi="仿宋" w:eastAsia="仿宋"/>
          <w:color w:val="0D0D0D"/>
          <w:spacing w:val="2"/>
          <w:sz w:val="24"/>
          <w:szCs w:val="24"/>
        </w:rPr>
        <w:t>第二完成人：葛坚，主任医师，工作和完成单位：中山大学中山眼科中心，对本项目的贡献：</w:t>
      </w:r>
      <w:r>
        <w:rPr>
          <w:rFonts w:ascii="仿宋" w:hAnsi="仿宋" w:eastAsia="仿宋"/>
          <w:sz w:val="24"/>
          <w:szCs w:val="24"/>
        </w:rPr>
        <w:t>承担项目中AD特征性疾病标志物Aβ在眼部的异常沉积及其在神经退行性疾病发病机制中的基础研究。证实AD眼部包括角膜、视网膜神经上皮层及色素上皮层存在Aβ的异常聚集，且Aβ异常聚集量与病程、疾病的严重程度相关；证实AD特征性病理改变在青光眼和AMD等眼部视网膜视神经退行性疾病中的发病机制，并在上述疾病治疗中以此作为防治靶点进行干预。这些基础研究结果为项目的顺利开展做出了重大贡献。</w:t>
      </w:r>
    </w:p>
    <w:p>
      <w:pPr>
        <w:autoSpaceDE w:val="0"/>
        <w:autoSpaceDN w:val="0"/>
        <w:adjustRightInd w:val="0"/>
        <w:spacing w:before="156" w:beforeLines="50" w:after="156" w:afterLines="50"/>
        <w:ind w:firstLine="488" w:firstLineChars="200"/>
        <w:rPr>
          <w:rFonts w:ascii="仿宋" w:hAnsi="仿宋" w:eastAsia="仿宋"/>
          <w:color w:val="0D0D0D"/>
          <w:spacing w:val="2"/>
          <w:sz w:val="24"/>
          <w:szCs w:val="24"/>
        </w:rPr>
      </w:pPr>
      <w:r>
        <w:rPr>
          <w:rFonts w:ascii="仿宋" w:hAnsi="仿宋" w:eastAsia="仿宋"/>
          <w:color w:val="0D0D0D"/>
          <w:spacing w:val="2"/>
          <w:sz w:val="24"/>
          <w:szCs w:val="24"/>
        </w:rPr>
        <w:t>第三完成人：阮祥才，</w:t>
      </w:r>
      <w:r>
        <w:rPr>
          <w:rFonts w:ascii="仿宋" w:hAnsi="仿宋" w:eastAsia="仿宋"/>
          <w:color w:val="000000"/>
          <w:kern w:val="0"/>
          <w:sz w:val="24"/>
          <w:szCs w:val="24"/>
        </w:rPr>
        <w:t>主任医师，该项目进展期间在广州市</w:t>
      </w:r>
      <w:r>
        <w:rPr>
          <w:rFonts w:ascii="仿宋" w:hAnsi="仿宋" w:eastAsia="仿宋"/>
          <w:color w:val="0D0D0D"/>
          <w:spacing w:val="2"/>
          <w:sz w:val="24"/>
          <w:szCs w:val="24"/>
        </w:rPr>
        <w:t>第一人民医院麻醉科工作，相应成果全部在广州市第一人民医院完成。对本成果的贡献：以第一完成人申请与项目直接相关的国家自然科学基金“血脑屏障P-糖蛋白调节异氟醚所致β淀粉样蛋白增高和凋亡的研究”和广州市科技计划项目“P-糖蛋白调节血脑屏障异氟醚所致β淀粉样蛋白增高和凋亡的研究”，负责该两项基金的设计、实施、总结分析、论文撰写和结题验收工作。以全身麻醉/手术促发AD等神经退行性疾病以及AD早期阶段存在着血脑屏障P-糖蛋白被抑制和由此引起的脑内Aβ增高、积聚正反馈回路为研究背景，运用Aβ转运清除学说，提出血脑屏障 P-糖蛋白是异氟醚等麻醉药物诱导神经毒性作用的潜在干预靶点，阐述了PXR、P2X7R/ERK、NF-κB和iNOS等不同信号通路对血组织屏障P-糖蛋白的调控以及在相关神经变性和神经炎症发病中的机制。</w:t>
      </w:r>
    </w:p>
    <w:p>
      <w:pPr>
        <w:autoSpaceDE w:val="0"/>
        <w:autoSpaceDN w:val="0"/>
        <w:adjustRightInd w:val="0"/>
        <w:spacing w:before="156" w:beforeLines="50" w:after="156" w:afterLines="50"/>
        <w:ind w:firstLine="480" w:firstLineChars="200"/>
        <w:rPr>
          <w:rFonts w:ascii="仿宋" w:hAnsi="仿宋" w:eastAsia="仿宋"/>
          <w:color w:val="000000"/>
          <w:kern w:val="0"/>
          <w:sz w:val="24"/>
          <w:szCs w:val="24"/>
        </w:rPr>
      </w:pPr>
      <w:r>
        <w:rPr>
          <w:rFonts w:ascii="仿宋" w:hAnsi="仿宋" w:eastAsia="仿宋"/>
          <w:color w:val="000000"/>
          <w:kern w:val="0"/>
          <w:sz w:val="24"/>
          <w:szCs w:val="24"/>
        </w:rPr>
        <w:t>第四完成人冷云霞，主任医师，广州市第一人民医院鹤洞分院副院长，参与了项目组中利用AD疾病模型在缺氧、光照刺激以及特异性和非特异性治疗的情况下，AD角膜和视网膜病理特征变化以及可能机制的探讨。这些工作有助于评估AD眼部病理改变与干预的敏感性之间的关联。</w:t>
      </w:r>
    </w:p>
    <w:p>
      <w:pPr>
        <w:autoSpaceDE w:val="0"/>
        <w:autoSpaceDN w:val="0"/>
        <w:adjustRightInd w:val="0"/>
        <w:spacing w:before="156" w:beforeLines="50" w:after="156" w:afterLines="50"/>
        <w:ind w:firstLine="480" w:firstLineChars="200"/>
        <w:rPr>
          <w:rFonts w:ascii="仿宋" w:hAnsi="仿宋" w:eastAsia="仿宋"/>
          <w:color w:val="000000"/>
          <w:kern w:val="0"/>
          <w:sz w:val="24"/>
          <w:szCs w:val="24"/>
        </w:rPr>
      </w:pPr>
      <w:r>
        <w:rPr>
          <w:rFonts w:ascii="仿宋" w:hAnsi="仿宋" w:eastAsia="仿宋"/>
          <w:color w:val="000000"/>
          <w:kern w:val="0"/>
          <w:sz w:val="24"/>
          <w:szCs w:val="24"/>
        </w:rPr>
        <w:t>第五完成人杨为中，主任医师，广州市第一人民医院眼科行政主任，在我院率先对AD和AMD患者推广脑-眼（视网膜）一体化诊疗体系。推广应用光学相干断层成像技术获得AD和AMD患者视网膜的疾病诊断信息，并通过会议交流、专题讲座等形式使省内部分从事眼科专业的医生通过其专题讲座及继续教育获得相关知识。</w:t>
      </w:r>
    </w:p>
    <w:p>
      <w:pPr>
        <w:autoSpaceDE w:val="0"/>
        <w:autoSpaceDN w:val="0"/>
        <w:adjustRightInd w:val="0"/>
        <w:spacing w:before="156" w:beforeLines="50" w:after="156" w:afterLines="50"/>
        <w:ind w:firstLine="480" w:firstLineChars="200"/>
        <w:rPr>
          <w:rFonts w:ascii="仿宋" w:hAnsi="仿宋" w:eastAsia="仿宋"/>
          <w:b/>
          <w:color w:val="000000"/>
          <w:sz w:val="24"/>
          <w:szCs w:val="24"/>
        </w:rPr>
      </w:pPr>
      <w:r>
        <w:rPr>
          <w:rFonts w:ascii="仿宋" w:hAnsi="仿宋" w:eastAsia="仿宋"/>
          <w:color w:val="000000"/>
          <w:kern w:val="0"/>
          <w:sz w:val="24"/>
          <w:szCs w:val="24"/>
        </w:rPr>
        <w:t>第六完成人高宗银，主任医师，广州市第一人民医院眼科行政副主任，在AD的防治中，建立并推广“由眼及脑、由局部到整体的疾病诊疗新理念”。应用光学相干断层成像技术和视觉电生理等技术获得AD和AMD患者视网膜的疾病诊断信息，并负责整理项目资料。</w:t>
      </w:r>
    </w:p>
    <w:p>
      <w:pPr>
        <w:adjustRightInd w:val="0"/>
        <w:snapToGrid w:val="0"/>
        <w:spacing w:before="156" w:beforeLines="50" w:after="156" w:afterLines="50" w:line="400" w:lineRule="exact"/>
        <w:rPr>
          <w:rFonts w:ascii="仿宋" w:hAnsi="仿宋" w:eastAsia="仿宋" w:cs="仿宋"/>
          <w:b/>
          <w:bCs/>
          <w:color w:val="0D0D0D"/>
          <w:spacing w:val="2"/>
          <w:sz w:val="24"/>
          <w:szCs w:val="24"/>
        </w:rPr>
      </w:pPr>
      <w:r>
        <w:rPr>
          <w:rFonts w:hint="eastAsia" w:ascii="仿宋" w:hAnsi="仿宋" w:eastAsia="仿宋" w:cs="仿宋"/>
          <w:b/>
          <w:bCs/>
          <w:color w:val="0D0D0D"/>
          <w:spacing w:val="2"/>
          <w:sz w:val="24"/>
          <w:szCs w:val="24"/>
        </w:rPr>
        <w:t>11.完成单位情况</w:t>
      </w:r>
    </w:p>
    <w:p>
      <w:pPr>
        <w:spacing w:before="156" w:beforeLines="50" w:after="156" w:afterLines="50"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项目完成单位为广州市第一人民医院和中山大学中山眼科中心。中山大学中山眼科中心主要在项目研究过程中提供了技术、设备和人员等条件，并对项目的完成起到了管理和协调作用。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39D9"/>
    <w:multiLevelType w:val="multilevel"/>
    <w:tmpl w:val="415C39D9"/>
    <w:lvl w:ilvl="0" w:tentative="0">
      <w:start w:val="1"/>
      <w:numFmt w:val="decimal"/>
      <w:lvlText w:val="[%1]"/>
      <w:lvlJc w:val="left"/>
      <w:pPr>
        <w:ind w:left="502" w:hanging="36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25A240C"/>
    <w:multiLevelType w:val="singleLevel"/>
    <w:tmpl w:val="625A240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0"/>
    <w:rsid w:val="00074E33"/>
    <w:rsid w:val="000C4F5C"/>
    <w:rsid w:val="000F6554"/>
    <w:rsid w:val="00107F61"/>
    <w:rsid w:val="0011155F"/>
    <w:rsid w:val="00122E7B"/>
    <w:rsid w:val="00146E5B"/>
    <w:rsid w:val="001662CE"/>
    <w:rsid w:val="00166941"/>
    <w:rsid w:val="00182930"/>
    <w:rsid w:val="001B1E23"/>
    <w:rsid w:val="001C3040"/>
    <w:rsid w:val="00237E70"/>
    <w:rsid w:val="002551CC"/>
    <w:rsid w:val="002652A0"/>
    <w:rsid w:val="00274CD7"/>
    <w:rsid w:val="0027701B"/>
    <w:rsid w:val="0029292F"/>
    <w:rsid w:val="002E0EC2"/>
    <w:rsid w:val="002F7120"/>
    <w:rsid w:val="00304146"/>
    <w:rsid w:val="00323072"/>
    <w:rsid w:val="00323779"/>
    <w:rsid w:val="00323C93"/>
    <w:rsid w:val="00326CDD"/>
    <w:rsid w:val="00387BC7"/>
    <w:rsid w:val="003A47A3"/>
    <w:rsid w:val="003E41EA"/>
    <w:rsid w:val="00444845"/>
    <w:rsid w:val="00455BF1"/>
    <w:rsid w:val="00493B8D"/>
    <w:rsid w:val="004C62A1"/>
    <w:rsid w:val="00533840"/>
    <w:rsid w:val="00551C95"/>
    <w:rsid w:val="005742ED"/>
    <w:rsid w:val="00606C44"/>
    <w:rsid w:val="006638F6"/>
    <w:rsid w:val="0068255C"/>
    <w:rsid w:val="006935F5"/>
    <w:rsid w:val="006A7570"/>
    <w:rsid w:val="006C54E5"/>
    <w:rsid w:val="006F5AE0"/>
    <w:rsid w:val="007022F3"/>
    <w:rsid w:val="007034C4"/>
    <w:rsid w:val="007129FA"/>
    <w:rsid w:val="00734CC3"/>
    <w:rsid w:val="00760039"/>
    <w:rsid w:val="007711A9"/>
    <w:rsid w:val="007943AD"/>
    <w:rsid w:val="007B15AD"/>
    <w:rsid w:val="008047C0"/>
    <w:rsid w:val="0082607F"/>
    <w:rsid w:val="00901295"/>
    <w:rsid w:val="00934EE0"/>
    <w:rsid w:val="009404FB"/>
    <w:rsid w:val="009555D1"/>
    <w:rsid w:val="00960C01"/>
    <w:rsid w:val="00970C3D"/>
    <w:rsid w:val="00982B45"/>
    <w:rsid w:val="00997E1B"/>
    <w:rsid w:val="009B6C0E"/>
    <w:rsid w:val="009C4AD6"/>
    <w:rsid w:val="009D06D4"/>
    <w:rsid w:val="009D66F4"/>
    <w:rsid w:val="009D7521"/>
    <w:rsid w:val="00A17129"/>
    <w:rsid w:val="00A242A8"/>
    <w:rsid w:val="00A7021B"/>
    <w:rsid w:val="00A869D3"/>
    <w:rsid w:val="00AC73A0"/>
    <w:rsid w:val="00AE6608"/>
    <w:rsid w:val="00B01638"/>
    <w:rsid w:val="00B54D92"/>
    <w:rsid w:val="00B60894"/>
    <w:rsid w:val="00B619E8"/>
    <w:rsid w:val="00BB04E0"/>
    <w:rsid w:val="00BB2BC2"/>
    <w:rsid w:val="00BB6046"/>
    <w:rsid w:val="00BC40C0"/>
    <w:rsid w:val="00C22822"/>
    <w:rsid w:val="00CB6CD1"/>
    <w:rsid w:val="00CC20D6"/>
    <w:rsid w:val="00CD32BB"/>
    <w:rsid w:val="00CD4BCF"/>
    <w:rsid w:val="00CE27B9"/>
    <w:rsid w:val="00CE5AC2"/>
    <w:rsid w:val="00D11A57"/>
    <w:rsid w:val="00D172E5"/>
    <w:rsid w:val="00D17EEE"/>
    <w:rsid w:val="00D327EE"/>
    <w:rsid w:val="00D420AA"/>
    <w:rsid w:val="00D500BD"/>
    <w:rsid w:val="00D635BF"/>
    <w:rsid w:val="00D81176"/>
    <w:rsid w:val="00DC0F0A"/>
    <w:rsid w:val="00DD3387"/>
    <w:rsid w:val="00DD672A"/>
    <w:rsid w:val="00DD7668"/>
    <w:rsid w:val="00DF79E6"/>
    <w:rsid w:val="00E10393"/>
    <w:rsid w:val="00E14183"/>
    <w:rsid w:val="00E549A5"/>
    <w:rsid w:val="00E56407"/>
    <w:rsid w:val="00E60700"/>
    <w:rsid w:val="00E679E8"/>
    <w:rsid w:val="00E700D0"/>
    <w:rsid w:val="00E826B7"/>
    <w:rsid w:val="00EB5A67"/>
    <w:rsid w:val="00EC16C7"/>
    <w:rsid w:val="00ED1CB7"/>
    <w:rsid w:val="00F00221"/>
    <w:rsid w:val="00F2660F"/>
    <w:rsid w:val="00F4027C"/>
    <w:rsid w:val="00F42085"/>
    <w:rsid w:val="00F44E60"/>
    <w:rsid w:val="00F6086C"/>
    <w:rsid w:val="00F94788"/>
    <w:rsid w:val="00FA5F23"/>
    <w:rsid w:val="00FC0636"/>
    <w:rsid w:val="00FC460E"/>
    <w:rsid w:val="00FC5D9A"/>
    <w:rsid w:val="1D8A1C95"/>
    <w:rsid w:val="54EB793E"/>
    <w:rsid w:val="6E74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1"/>
    <w:pPr>
      <w:ind w:left="191"/>
      <w:outlineLvl w:val="0"/>
    </w:pPr>
    <w:rPr>
      <w:rFonts w:ascii="微软雅黑" w:hAnsi="微软雅黑" w:eastAsia="微软雅黑"/>
      <w:b/>
      <w:bCs/>
      <w:sz w:val="44"/>
      <w:szCs w:val="44"/>
    </w:rPr>
  </w:style>
  <w:style w:type="paragraph" w:styleId="3">
    <w:name w:val="heading 2"/>
    <w:basedOn w:val="1"/>
    <w:next w:val="1"/>
    <w:link w:val="11"/>
    <w:qFormat/>
    <w:uiPriority w:val="1"/>
    <w:pPr>
      <w:ind w:left="120"/>
      <w:outlineLvl w:val="1"/>
    </w:pPr>
    <w:rPr>
      <w:rFonts w:ascii="微软雅黑" w:hAnsi="微软雅黑" w:eastAsia="微软雅黑"/>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1"/>
    <w:rPr>
      <w:rFonts w:ascii="微软雅黑" w:hAnsi="微软雅黑" w:eastAsia="微软雅黑"/>
      <w:b/>
      <w:bCs/>
      <w:kern w:val="0"/>
      <w:sz w:val="44"/>
      <w:szCs w:val="44"/>
      <w:lang w:eastAsia="en-US"/>
    </w:rPr>
  </w:style>
  <w:style w:type="character" w:customStyle="1" w:styleId="11">
    <w:name w:val="标题 2 Char"/>
    <w:basedOn w:val="9"/>
    <w:link w:val="3"/>
    <w:qFormat/>
    <w:uiPriority w:val="1"/>
    <w:rPr>
      <w:rFonts w:ascii="微软雅黑" w:hAnsi="微软雅黑" w:eastAsia="微软雅黑"/>
      <w:b/>
      <w:bCs/>
      <w:kern w:val="0"/>
      <w:sz w:val="32"/>
      <w:szCs w:val="32"/>
      <w:lang w:eastAsia="en-US"/>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docsum-authors"/>
    <w:basedOn w:val="9"/>
    <w:qFormat/>
    <w:uiPriority w:val="0"/>
  </w:style>
  <w:style w:type="character" w:customStyle="1" w:styleId="15">
    <w:name w:val="页眉 Char"/>
    <w:basedOn w:val="9"/>
    <w:link w:val="6"/>
    <w:qFormat/>
    <w:uiPriority w:val="99"/>
    <w:rPr>
      <w:rFonts w:ascii="Times New Roman" w:hAnsi="Times New Roman" w:eastAsia="宋体" w:cs="Times New Roman"/>
      <w:sz w:val="18"/>
      <w:szCs w:val="18"/>
    </w:rPr>
  </w:style>
  <w:style w:type="character" w:customStyle="1" w:styleId="16">
    <w:name w:val="页脚 Char"/>
    <w:basedOn w:val="9"/>
    <w:link w:val="5"/>
    <w:qFormat/>
    <w:uiPriority w:val="99"/>
    <w:rPr>
      <w:rFonts w:ascii="Times New Roman" w:hAnsi="Times New Roman" w:eastAsia="宋体" w:cs="Times New Roman"/>
      <w:sz w:val="18"/>
      <w:szCs w:val="18"/>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1527</Words>
  <Characters>8707</Characters>
  <Lines>72</Lines>
  <Paragraphs>20</Paragraphs>
  <TotalTime>62</TotalTime>
  <ScaleCrop>false</ScaleCrop>
  <LinksUpToDate>false</LinksUpToDate>
  <CharactersWithSpaces>10214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2021-07-06T03:00:00Z</dcterms:created>
  <dc:creator>Windows 用户</dc:creator>
  <cp:lastModifiedBy>科技处</cp:lastModifiedBy>
  <dcterms:modified xsi:type="dcterms:W3CDTF">2021-07-23T02:55:31Z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