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101FB">
      <w:pPr>
        <w:autoSpaceDE/>
        <w:autoSpaceDN/>
        <w:ind w:firstLine="1120" w:firstLineChars="400"/>
        <w:jc w:val="left"/>
        <w:outlineLvl w:val="9"/>
        <w:rPr>
          <w:rFonts w:hint="eastAsia" w:ascii="仿宋_GB2312" w:hAnsi="仿宋_GB2312" w:eastAsia="仿宋_GB2312" w:cs="仿宋_GB2312"/>
          <w:b w:val="0"/>
          <w:color w:val="000000" w:themeColor="text1"/>
          <w:sz w:val="28"/>
          <w:szCs w:val="28"/>
          <w14:textFill>
            <w14:solidFill>
              <w14:schemeClr w14:val="tx1"/>
            </w14:solidFill>
          </w14:textFill>
        </w:rPr>
      </w:pPr>
      <w:bookmarkStart w:id="2" w:name="_GoBack"/>
      <w:bookmarkEnd w:id="2"/>
      <w:r>
        <w:rPr>
          <w:rFonts w:hint="eastAsia" w:ascii="仿宋_GB2312" w:hAnsi="仿宋_GB2312" w:eastAsia="仿宋_GB2312" w:cs="仿宋_GB2312"/>
          <w:b w:val="0"/>
          <w:color w:val="000000" w:themeColor="text1"/>
          <w:sz w:val="28"/>
          <w:szCs w:val="28"/>
          <w14:textFill>
            <w14:solidFill>
              <w14:schemeClr w14:val="tx1"/>
            </w14:solidFill>
          </w14:textFill>
        </w:rPr>
        <w:t>污水处理系统运行管理与维护保养服务项目用户需求书</w:t>
      </w:r>
    </w:p>
    <w:p w14:paraId="257B5F2D">
      <w:pPr>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p>
    <w:p w14:paraId="6366507E">
      <w:pPr>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注：标注“★”的条款为评标时不可偏离条款不允许偏离，为无效投标条款。</w:t>
      </w:r>
    </w:p>
    <w:p w14:paraId="4B0D4559">
      <w:pPr>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标注“▲”的条款为评标时重要条款，不满足者将会被严重扣分，不作为无效投标条款。</w:t>
      </w:r>
    </w:p>
    <w:p w14:paraId="25A09CB9">
      <w:pPr>
        <w:ind w:firstLine="1120" w:firstLineChars="400"/>
        <w:rPr>
          <w:rFonts w:hint="eastAsia" w:ascii="仿宋_GB2312" w:hAnsi="仿宋_GB2312" w:eastAsia="仿宋_GB2312" w:cs="仿宋_GB2312"/>
          <w:color w:val="000000" w:themeColor="text1"/>
          <w:sz w:val="28"/>
          <w:szCs w:val="28"/>
          <w14:textFill>
            <w14:solidFill>
              <w14:schemeClr w14:val="tx1"/>
            </w14:solidFill>
          </w14:textFill>
        </w:rPr>
      </w:pPr>
    </w:p>
    <w:p w14:paraId="3A39820B">
      <w:pPr>
        <w:adjustRightInd/>
        <w:snapToGrid/>
        <w:ind w:firstLine="1120" w:firstLineChars="400"/>
        <w:rPr>
          <w:rFonts w:hint="eastAsia" w:ascii="仿宋_GB2312" w:hAnsi="仿宋_GB2312" w:eastAsia="仿宋_GB2312" w:cs="仿宋_GB2312"/>
          <w:b w:val="0"/>
          <w:bCs w:val="0"/>
          <w:color w:val="000000" w:themeColor="text1"/>
          <w:sz w:val="28"/>
          <w:szCs w:val="28"/>
          <w14:textFill>
            <w14:solidFill>
              <w14:schemeClr w14:val="tx1"/>
            </w14:solidFill>
          </w14:textFill>
        </w:rPr>
      </w:pPr>
      <w:r>
        <w:rPr>
          <w:rFonts w:hint="eastAsia" w:ascii="仿宋_GB2312" w:hAnsi="仿宋_GB2312" w:eastAsia="仿宋_GB2312" w:cs="仿宋_GB2312"/>
          <w:b w:val="0"/>
          <w:bCs w:val="0"/>
          <w:color w:val="000000" w:themeColor="text1"/>
          <w:sz w:val="28"/>
          <w:szCs w:val="28"/>
          <w14:textFill>
            <w14:solidFill>
              <w14:schemeClr w14:val="tx1"/>
            </w14:solidFill>
          </w14:textFill>
        </w:rPr>
        <w:t>一、承包范围</w:t>
      </w:r>
    </w:p>
    <w:p w14:paraId="4E22F528">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（1）本项目维保服务站点包括中山大学中山眼科中心区庄院区污水站</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14:textFill>
            <w14:solidFill>
              <w14:schemeClr w14:val="tx1"/>
            </w14:solidFill>
          </w14:textFill>
        </w:rPr>
        <w:t>珠江新城院区污水站</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和生物岛院区污水站；其中生物岛院区主要内容是实验室运行过程中有一定量的实验废水排放，主要污染物为：有机物、微生物、悬浮物等，污染浓度不高。</w:t>
      </w:r>
    </w:p>
    <w:p w14:paraId="0C925196">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区庄院区污水站地址为广州市越秀区先烈南路54号，珠江新城院区污水站地址为广州市天河区金穗路7号</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，生物岛院区污水站地址为广州市海珠区星岛环南路与螺旋大道交叉口（广州国际生物岛标准产业单元四期）。</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 xml:space="preserve">   </w:t>
      </w:r>
    </w:p>
    <w:p w14:paraId="7C2CAB1B">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委派具备专业知识及具备上岗资格证的操作人员：珠江新城院区和区庄院区需固定一名驻场工作人员维护现场，</w:t>
      </w:r>
      <w:r>
        <w:rPr>
          <w:rFonts w:hint="eastAsia" w:ascii="仿宋_GB2312" w:hAnsi="仿宋_GB2312" w:eastAsia="仿宋_GB2312" w:cs="仿宋_GB2312"/>
          <w:color w:val="000000" w:themeColor="text1"/>
          <w:kern w:val="2"/>
          <w:sz w:val="28"/>
          <w:szCs w:val="28"/>
          <w14:textFill>
            <w14:solidFill>
              <w14:schemeClr w14:val="tx1"/>
            </w14:solidFill>
          </w14:textFill>
        </w:rPr>
        <w:t>每周六天，每天8:00-17:30，确保污水站系统设备每天24小时正常运行和排污达标</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生物岛院区一周巡查不低于3次</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p>
    <w:p w14:paraId="58B62EAD">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28"/>
          <w:szCs w:val="28"/>
          <w14:textFill>
            <w14:solidFill>
              <w14:schemeClr w14:val="tx1"/>
            </w14:solidFill>
          </w14:textFill>
        </w:rPr>
        <w:t>）负责各污水处理站的日常运营管理和设备的维修保养工作</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14:textFill>
            <w14:solidFill>
              <w14:schemeClr w14:val="tx1"/>
            </w14:solidFill>
          </w14:textFill>
        </w:rPr>
        <w:t>负责污水处理系统安全运行。</w:t>
      </w:r>
    </w:p>
    <w:p w14:paraId="77A6BA90">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（4）负责完善污水处理系统操作规程和管理制度。</w:t>
      </w:r>
    </w:p>
    <w:p w14:paraId="35795C6B">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（5）</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14:textFill>
            <w14:solidFill>
              <w14:schemeClr w14:val="tx1"/>
            </w14:solidFill>
          </w14:textFill>
        </w:rPr>
        <w:t>负责污水处理系统的日常操作和维护以及所有的设备维修和人工费用。</w:t>
      </w:r>
    </w:p>
    <w:p w14:paraId="26E6FBDD">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（6）负责污水处理所发生的一切费用（包含药剂的购买和投加），维修单项费用超过人民币2000元（不含人民币2000元）的除外。</w:t>
      </w:r>
    </w:p>
    <w:p w14:paraId="6D137FD0">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（7）负责做好相关的运营记录，建立运营档案资料。</w:t>
      </w:r>
    </w:p>
    <w:p w14:paraId="58731E42">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（8）负责定期分析污水处理系统的出水水质，确保出水水质稳定达标。</w:t>
      </w:r>
    </w:p>
    <w:p w14:paraId="1ED55B85">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（9）在运营服务期内，如有上级部门或相关部门进行监督检查，须全力配合采购人做好迎检，并提供相关材料。</w:t>
      </w:r>
    </w:p>
    <w:p w14:paraId="7F2D9EF3">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（10）定期对污水处理站进行清理，负责按当地环保部门的相关规定处理因污水处理当中产生的固体废物。</w:t>
      </w:r>
    </w:p>
    <w:p w14:paraId="56B62204">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（11）配合当地环保部门和卫监部门做好水质的监测。</w:t>
      </w:r>
    </w:p>
    <w:p w14:paraId="738C31ED">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（12）保持站内的清洁，接受医院的监督和管理。</w:t>
      </w:r>
    </w:p>
    <w:p w14:paraId="76F2FB56">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（13）如水质排放不合格或检测项目不达标，由此发生的罚款及其他一切行政处罚由运营单位承担。</w:t>
      </w:r>
    </w:p>
    <w:p w14:paraId="063ACD4E">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（1</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协助采购人填写环保相关的</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政府部门信息系统，包括但不限于全国排污许可证管理信息平台、全国污染源监测数据管理与共享系统、广州市生态环境局企业环境信用评价系统等</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有关污水运维相关数据资料</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确保按照相关要求按时、规范、准确填写</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w:t>
      </w:r>
    </w:p>
    <w:p w14:paraId="2AA08D5D">
      <w:pPr>
        <w:adjustRightInd/>
        <w:snapToGrid/>
        <w:ind w:firstLine="1120" w:firstLineChars="400"/>
        <w:rPr>
          <w:rFonts w:hint="eastAsia" w:ascii="仿宋_GB2312" w:hAnsi="仿宋_GB2312" w:eastAsia="仿宋_GB2312" w:cs="仿宋_GB2312"/>
          <w:bCs w:val="0"/>
          <w:color w:val="000000" w:themeColor="text1"/>
          <w:sz w:val="28"/>
          <w:szCs w:val="28"/>
          <w14:textFill>
            <w14:solidFill>
              <w14:schemeClr w14:val="tx1"/>
            </w14:solidFill>
          </w14:textFill>
        </w:rPr>
      </w:pPr>
    </w:p>
    <w:p w14:paraId="25DC9EE2">
      <w:pPr>
        <w:adjustRightInd/>
        <w:snapToGrid/>
        <w:ind w:firstLine="1120" w:firstLineChars="400"/>
        <w:rPr>
          <w:rFonts w:hint="eastAsia" w:ascii="仿宋_GB2312" w:hAnsi="仿宋_GB2312" w:eastAsia="仿宋_GB2312" w:cs="仿宋_GB2312"/>
          <w:b w:val="0"/>
          <w:bCs w:val="0"/>
          <w:color w:val="000000" w:themeColor="text1"/>
          <w:sz w:val="28"/>
          <w:szCs w:val="28"/>
          <w14:textFill>
            <w14:solidFill>
              <w14:schemeClr w14:val="tx1"/>
            </w14:solidFill>
          </w14:textFill>
        </w:rPr>
      </w:pPr>
      <w:r>
        <w:rPr>
          <w:rFonts w:hint="eastAsia" w:ascii="仿宋_GB2312" w:hAnsi="仿宋_GB2312" w:eastAsia="仿宋_GB2312" w:cs="仿宋_GB2312"/>
          <w:b w:val="0"/>
          <w:bCs w:val="0"/>
          <w:color w:val="000000" w:themeColor="text1"/>
          <w:sz w:val="28"/>
          <w:szCs w:val="28"/>
          <w14:textFill>
            <w14:solidFill>
              <w14:schemeClr w14:val="tx1"/>
            </w14:solidFill>
          </w14:textFill>
        </w:rPr>
        <w:t>★二、承包</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费用</w:t>
      </w:r>
      <w:r>
        <w:rPr>
          <w:rFonts w:hint="eastAsia" w:ascii="仿宋_GB2312" w:hAnsi="仿宋_GB2312" w:eastAsia="仿宋_GB2312" w:cs="仿宋_GB2312"/>
          <w:color w:val="000000" w:themeColor="text1"/>
          <w:sz w:val="28"/>
          <w:szCs w:val="28"/>
          <w14:textFill>
            <w14:solidFill>
              <w14:schemeClr w14:val="tx1"/>
            </w14:solidFill>
          </w14:textFill>
        </w:rPr>
        <w:t>（投标人可出具相关内容说明函或承诺函）</w:t>
      </w:r>
    </w:p>
    <w:p w14:paraId="6E2675D6">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该项目采用“全承包”方式，即包含污水处理（含用药费及</w:t>
      </w:r>
      <w:r>
        <w:rPr>
          <w:rFonts w:hint="eastAsia" w:ascii="仿宋_GB2312" w:hAnsi="仿宋_GB2312" w:eastAsia="仿宋_GB2312" w:cs="仿宋_GB2312"/>
          <w:b w:val="0"/>
          <w:color w:val="000000" w:themeColor="text1"/>
          <w:sz w:val="28"/>
          <w:szCs w:val="28"/>
          <w:lang w:val="en-US" w:eastAsia="zh-CN"/>
          <w14:textFill>
            <w14:solidFill>
              <w14:schemeClr w14:val="tx1"/>
            </w14:solidFill>
          </w14:textFill>
        </w:rPr>
        <w:t>2000</w:t>
      </w:r>
      <w:r>
        <w:rPr>
          <w:rFonts w:hint="eastAsia" w:ascii="仿宋_GB2312" w:hAnsi="仿宋_GB2312" w:eastAsia="仿宋_GB2312" w:cs="仿宋_GB2312"/>
          <w:b w:val="0"/>
          <w:color w:val="000000" w:themeColor="text1"/>
          <w:sz w:val="28"/>
          <w:szCs w:val="28"/>
          <w14:textFill>
            <w14:solidFill>
              <w14:schemeClr w14:val="tx1"/>
            </w14:solidFill>
          </w14:textFill>
        </w:rPr>
        <w:t>元以下设备配件费）、技术管理费、24小时值班人工费、污水设施维保费、污泥清运费（不含衰变池）、环保部门罚款费、税金、项目管理的办公成本、环保等政府职能部门监测费等费用，不含污水站运行的水电费。</w:t>
      </w:r>
    </w:p>
    <w:p w14:paraId="1B761E43">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详细费用包括但不限于如下内容：</w:t>
      </w:r>
    </w:p>
    <w:p w14:paraId="692143F1">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1．运行所需的所有药剂费、材料费、化验费、运行所需的辅助工具等费用。</w:t>
      </w:r>
    </w:p>
    <w:p w14:paraId="53218510">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2．污水站的设备保养及维护人工费。</w:t>
      </w:r>
    </w:p>
    <w:p w14:paraId="39B1910E">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3．清理池体，至少每半年一次。</w:t>
      </w:r>
    </w:p>
    <w:p w14:paraId="34EB06D6">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4．投标人管理费以及操作人员的工资、节假日加班费、福利、劳保、社会保险、工伤保险、医疗保险等费用。</w:t>
      </w:r>
    </w:p>
    <w:p w14:paraId="49DABB08">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5．每月一次水质采样分析化验费用及调试费。</w:t>
      </w:r>
    </w:p>
    <w:p w14:paraId="6644949C">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6．环保等政府职能部门监测费用以及超标排污罚款等费用。</w:t>
      </w:r>
    </w:p>
    <w:p w14:paraId="78A597C5">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7．更换单价在</w:t>
      </w:r>
      <w:r>
        <w:rPr>
          <w:rFonts w:hint="eastAsia" w:ascii="仿宋_GB2312" w:hAnsi="仿宋_GB2312" w:eastAsia="仿宋_GB2312" w:cs="仿宋_GB2312"/>
          <w:b w:val="0"/>
          <w:color w:val="000000" w:themeColor="text1"/>
          <w:sz w:val="28"/>
          <w:szCs w:val="28"/>
          <w:lang w:val="en-US" w:eastAsia="zh-CN"/>
          <w14:textFill>
            <w14:solidFill>
              <w14:schemeClr w14:val="tx1"/>
            </w14:solidFill>
          </w14:textFill>
        </w:rPr>
        <w:t>2000</w:t>
      </w:r>
      <w:r>
        <w:rPr>
          <w:rFonts w:hint="eastAsia" w:ascii="仿宋_GB2312" w:hAnsi="仿宋_GB2312" w:eastAsia="仿宋_GB2312" w:cs="仿宋_GB2312"/>
          <w:b w:val="0"/>
          <w:color w:val="000000" w:themeColor="text1"/>
          <w:sz w:val="28"/>
          <w:szCs w:val="28"/>
          <w14:textFill>
            <w14:solidFill>
              <w14:schemeClr w14:val="tx1"/>
            </w14:solidFill>
          </w14:textFill>
        </w:rPr>
        <w:t>元及以下的零配件或材料费用。（包括但不限于更换加药管、排水管、浮球、球阀</w:t>
      </w:r>
      <w:r>
        <w:rPr>
          <w:rFonts w:hint="eastAsia" w:ascii="仿宋_GB2312" w:hAnsi="仿宋_GB2312" w:eastAsia="仿宋_GB2312" w:cs="仿宋_GB2312"/>
          <w:b w:val="0"/>
          <w:color w:val="000000" w:themeColor="text1"/>
          <w:sz w:val="28"/>
          <w:szCs w:val="28"/>
          <w:lang w:eastAsia="zh-CN"/>
          <w14:textFill>
            <w14:solidFill>
              <w14:schemeClr w14:val="tx1"/>
            </w14:solidFill>
          </w14:textFill>
        </w:rPr>
        <w:t>、水泵</w:t>
      </w:r>
      <w:r>
        <w:rPr>
          <w:rFonts w:hint="eastAsia" w:ascii="仿宋_GB2312" w:hAnsi="仿宋_GB2312" w:eastAsia="仿宋_GB2312" w:cs="仿宋_GB2312"/>
          <w:b w:val="0"/>
          <w:color w:val="000000" w:themeColor="text1"/>
          <w:sz w:val="28"/>
          <w:szCs w:val="28"/>
          <w14:textFill>
            <w14:solidFill>
              <w14:schemeClr w14:val="tx1"/>
            </w14:solidFill>
          </w14:textFill>
        </w:rPr>
        <w:t>等）</w:t>
      </w:r>
      <w:r>
        <w:rPr>
          <w:rFonts w:hint="eastAsia" w:ascii="仿宋_GB2312" w:hAnsi="仿宋_GB2312" w:eastAsia="仿宋_GB2312" w:cs="仿宋_GB2312"/>
          <w:b w:val="0"/>
          <w:color w:val="000000" w:themeColor="text1"/>
          <w:sz w:val="28"/>
          <w:szCs w:val="28"/>
          <w:lang w:eastAsia="zh-CN"/>
          <w14:textFill>
            <w14:solidFill>
              <w14:schemeClr w14:val="tx1"/>
            </w14:solidFill>
          </w14:textFill>
        </w:rPr>
        <w:t>；单价为单项材料价格，更换安装工时免费。当预计总价超过2000元时，由投标人出具书面报告，经采购人核定后，由采购人负责提供配件或支付费用，投标人负责人工更换。</w:t>
      </w:r>
      <w:r>
        <w:rPr>
          <w:rFonts w:hint="eastAsia" w:ascii="仿宋_GB2312" w:hAnsi="仿宋_GB2312" w:eastAsia="仿宋_GB2312" w:cs="仿宋_GB2312"/>
          <w:b w:val="0"/>
          <w:color w:val="000000" w:themeColor="text1"/>
          <w:sz w:val="28"/>
          <w:szCs w:val="28"/>
          <w14:textFill>
            <w14:solidFill>
              <w14:schemeClr w14:val="tx1"/>
            </w14:solidFill>
          </w14:textFill>
        </w:rPr>
        <w:t>负责废气除臭设备活性炭采购、更换和处置，需要委托具有处置资质能力的单位进行处置并提供回单，不可随意处置。</w:t>
      </w:r>
    </w:p>
    <w:p w14:paraId="639147DE">
      <w:pPr>
        <w:adjustRightInd/>
        <w:snapToGrid/>
        <w:ind w:firstLine="560" w:firstLineChars="2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8．投标人的合理利润、税费、项目管理办公成本等费用。</w:t>
      </w:r>
    </w:p>
    <w:p w14:paraId="23C71710">
      <w:pPr>
        <w:adjustRightInd/>
        <w:snapToGrid/>
        <w:ind w:firstLine="560" w:firstLineChars="2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9. 水质不达标处理机制：</w:t>
      </w:r>
      <w:r>
        <w:rPr>
          <w:rFonts w:hint="eastAsia" w:ascii="仿宋_GB2312" w:hAnsi="仿宋_GB2312" w:eastAsia="仿宋_GB2312" w:cs="仿宋_GB2312"/>
          <w:b w:val="0"/>
          <w:color w:val="000000" w:themeColor="text1"/>
          <w:sz w:val="28"/>
          <w:szCs w:val="28"/>
          <w14:textFill>
            <w14:solidFill>
              <w14:schemeClr w14:val="tx1"/>
            </w14:solidFill>
          </w14:textFill>
        </w:rPr>
        <w:br w:type="textWrapping"/>
      </w:r>
      <w:r>
        <w:rPr>
          <w:rFonts w:hint="eastAsia" w:ascii="仿宋_GB2312" w:hAnsi="仿宋_GB2312" w:eastAsia="仿宋_GB2312" w:cs="仿宋_GB2312"/>
          <w:b w:val="0"/>
          <w:color w:val="000000" w:themeColor="text1"/>
          <w:sz w:val="28"/>
          <w:szCs w:val="28"/>
          <w14:textFill>
            <w14:solidFill>
              <w14:schemeClr w14:val="tx1"/>
            </w14:solidFill>
          </w14:textFill>
        </w:rPr>
        <w:t>（1）采购人有权委托第三方不定期抽检。若抽检不合格，当次检测费用由投标人承担。</w:t>
      </w:r>
      <w:r>
        <w:rPr>
          <w:rFonts w:hint="eastAsia" w:ascii="仿宋_GB2312" w:hAnsi="仿宋_GB2312" w:eastAsia="仿宋_GB2312" w:cs="仿宋_GB2312"/>
          <w:b w:val="0"/>
          <w:color w:val="000000" w:themeColor="text1"/>
          <w:sz w:val="28"/>
          <w:szCs w:val="28"/>
          <w14:textFill>
            <w14:solidFill>
              <w14:schemeClr w14:val="tx1"/>
            </w14:solidFill>
          </w14:textFill>
        </w:rPr>
        <w:br w:type="textWrapping"/>
      </w:r>
      <w:r>
        <w:rPr>
          <w:rFonts w:hint="eastAsia" w:ascii="仿宋_GB2312" w:hAnsi="仿宋_GB2312" w:eastAsia="仿宋_GB2312" w:cs="仿宋_GB2312"/>
          <w:b w:val="0"/>
          <w:color w:val="000000" w:themeColor="text1"/>
          <w:sz w:val="28"/>
          <w:szCs w:val="28"/>
          <w14:textFill>
            <w14:solidFill>
              <w14:schemeClr w14:val="tx1"/>
            </w14:solidFill>
          </w14:textFill>
        </w:rPr>
        <w:t>（2）第一次不合格，采购人将出具书面警告，投标人须提交整改报告。</w:t>
      </w:r>
      <w:r>
        <w:rPr>
          <w:rFonts w:hint="eastAsia" w:ascii="仿宋_GB2312" w:hAnsi="仿宋_GB2312" w:eastAsia="仿宋_GB2312" w:cs="仿宋_GB2312"/>
          <w:b w:val="0"/>
          <w:color w:val="000000" w:themeColor="text1"/>
          <w:sz w:val="28"/>
          <w:szCs w:val="28"/>
          <w14:textFill>
            <w14:solidFill>
              <w14:schemeClr w14:val="tx1"/>
            </w14:solidFill>
          </w14:textFill>
        </w:rPr>
        <w:br w:type="textWrapping"/>
      </w:r>
      <w:r>
        <w:rPr>
          <w:rFonts w:hint="eastAsia" w:ascii="仿宋_GB2312" w:hAnsi="仿宋_GB2312" w:eastAsia="仿宋_GB2312" w:cs="仿宋_GB2312"/>
          <w:b w:val="0"/>
          <w:color w:val="000000" w:themeColor="text1"/>
          <w:sz w:val="28"/>
          <w:szCs w:val="28"/>
          <w14:textFill>
            <w14:solidFill>
              <w14:schemeClr w14:val="tx1"/>
            </w14:solidFill>
          </w14:textFill>
        </w:rPr>
        <w:t>（3）第二次不合格，采购人将扣除投标人</w:t>
      </w:r>
      <w:r>
        <w:rPr>
          <w:rFonts w:hint="eastAsia" w:ascii="仿宋_GB2312" w:hAnsi="仿宋_GB2312" w:eastAsia="仿宋_GB2312" w:cs="仿宋_GB2312"/>
          <w:b w:val="0"/>
          <w:color w:val="000000" w:themeColor="text1"/>
          <w:sz w:val="28"/>
          <w:szCs w:val="28"/>
          <w:lang w:eastAsia="zh-CN"/>
          <w14:textFill>
            <w14:solidFill>
              <w14:schemeClr w14:val="tx1"/>
            </w14:solidFill>
          </w14:textFill>
        </w:rPr>
        <w:t>管理费用</w:t>
      </w:r>
      <w:r>
        <w:rPr>
          <w:rFonts w:hint="eastAsia" w:ascii="仿宋_GB2312" w:hAnsi="仿宋_GB2312" w:eastAsia="仿宋_GB2312" w:cs="仿宋_GB2312"/>
          <w:b w:val="0"/>
          <w:color w:val="000000" w:themeColor="text1"/>
          <w:sz w:val="28"/>
          <w:szCs w:val="28"/>
          <w:lang w:val="en-US" w:eastAsia="zh-CN"/>
          <w14:textFill>
            <w14:solidFill>
              <w14:schemeClr w14:val="tx1"/>
            </w14:solidFill>
          </w14:textFill>
        </w:rPr>
        <w:t>5000元</w:t>
      </w:r>
      <w:r>
        <w:rPr>
          <w:rFonts w:hint="eastAsia" w:ascii="仿宋_GB2312" w:hAnsi="仿宋_GB2312" w:eastAsia="仿宋_GB2312" w:cs="仿宋_GB2312"/>
          <w:b w:val="0"/>
          <w:color w:val="000000" w:themeColor="text1"/>
          <w:sz w:val="28"/>
          <w:szCs w:val="28"/>
          <w14:textFill>
            <w14:solidFill>
              <w14:schemeClr w14:val="tx1"/>
            </w14:solidFill>
          </w14:textFill>
        </w:rPr>
        <w:t>。</w:t>
      </w:r>
      <w:r>
        <w:rPr>
          <w:rFonts w:hint="eastAsia" w:ascii="仿宋_GB2312" w:hAnsi="仿宋_GB2312" w:eastAsia="仿宋_GB2312" w:cs="仿宋_GB2312"/>
          <w:b w:val="0"/>
          <w:color w:val="000000" w:themeColor="text1"/>
          <w:sz w:val="28"/>
          <w:szCs w:val="28"/>
          <w14:textFill>
            <w14:solidFill>
              <w14:schemeClr w14:val="tx1"/>
            </w14:solidFill>
          </w14:textFill>
        </w:rPr>
        <w:br w:type="textWrapping"/>
      </w:r>
      <w:r>
        <w:rPr>
          <w:rFonts w:hint="eastAsia" w:ascii="仿宋_GB2312" w:hAnsi="仿宋_GB2312" w:eastAsia="仿宋_GB2312" w:cs="仿宋_GB2312"/>
          <w:b w:val="0"/>
          <w:color w:val="000000" w:themeColor="text1"/>
          <w:sz w:val="28"/>
          <w:szCs w:val="28"/>
          <w14:textFill>
            <w14:solidFill>
              <w14:schemeClr w14:val="tx1"/>
            </w14:solidFill>
          </w14:textFill>
        </w:rPr>
        <w:t>（4）第三次（含）及以上不合格，或受到政府部门抽检不合格一次，视为投标人严重违约，采购人有权单方解除合同，并没收履约保证金，投标人还需承担所有罚款及赔偿责任。</w:t>
      </w:r>
    </w:p>
    <w:p w14:paraId="16716A37">
      <w:pPr>
        <w:adjustRightInd/>
        <w:snapToGrid/>
        <w:ind w:firstLine="1120" w:firstLineChars="400"/>
        <w:rPr>
          <w:rFonts w:hint="eastAsia" w:ascii="仿宋_GB2312" w:hAnsi="仿宋_GB2312" w:eastAsia="仿宋_GB2312" w:cs="仿宋_GB2312"/>
          <w:b w:val="0"/>
          <w:bCs w:val="0"/>
          <w:color w:val="000000" w:themeColor="text1"/>
          <w:sz w:val="28"/>
          <w:szCs w:val="28"/>
          <w14:textFill>
            <w14:solidFill>
              <w14:schemeClr w14:val="tx1"/>
            </w14:solidFill>
          </w14:textFill>
        </w:rPr>
      </w:pPr>
      <w:r>
        <w:rPr>
          <w:rFonts w:hint="eastAsia" w:ascii="仿宋_GB2312" w:hAnsi="仿宋_GB2312" w:eastAsia="仿宋_GB2312" w:cs="仿宋_GB2312"/>
          <w:b w:val="0"/>
          <w:bCs w:val="0"/>
          <w:color w:val="000000" w:themeColor="text1"/>
          <w:sz w:val="28"/>
          <w:szCs w:val="28"/>
          <w14:textFill>
            <w14:solidFill>
              <w14:schemeClr w14:val="tx1"/>
            </w14:solidFill>
          </w14:textFill>
        </w:rPr>
        <w:t>三、污水处理站目前运行状况</w:t>
      </w:r>
    </w:p>
    <w:p w14:paraId="2E9BCA26">
      <w:pPr>
        <w:pageBreakBefore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处理水量</w:t>
      </w:r>
    </w:p>
    <w:p w14:paraId="275E211A">
      <w:pPr>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区庄院区污水站污水</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处理</w:t>
      </w:r>
      <w:r>
        <w:rPr>
          <w:rFonts w:hint="eastAsia" w:ascii="仿宋_GB2312" w:hAnsi="仿宋_GB2312" w:eastAsia="仿宋_GB2312" w:cs="仿宋_GB2312"/>
          <w:color w:val="000000" w:themeColor="text1"/>
          <w:kern w:val="2"/>
          <w:sz w:val="28"/>
          <w:szCs w:val="28"/>
          <w14:textFill>
            <w14:solidFill>
              <w14:schemeClr w14:val="tx1"/>
            </w14:solidFill>
          </w14:textFill>
        </w:rPr>
        <w:t>量约为500吨/天，珠江新城院区污</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水</w:t>
      </w:r>
      <w:r>
        <w:rPr>
          <w:rFonts w:hint="eastAsia" w:ascii="仿宋_GB2312" w:hAnsi="仿宋_GB2312" w:eastAsia="仿宋_GB2312" w:cs="仿宋_GB2312"/>
          <w:color w:val="000000" w:themeColor="text1"/>
          <w:kern w:val="2"/>
          <w:sz w:val="28"/>
          <w:szCs w:val="28"/>
          <w14:textFill>
            <w14:solidFill>
              <w14:schemeClr w14:val="tx1"/>
            </w14:solidFill>
          </w14:textFill>
        </w:rPr>
        <w:t>处理量约为450吨/天</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，生物岛院区污水站污水处理量约为</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20吨/天。</w:t>
      </w:r>
    </w:p>
    <w:p w14:paraId="473CE65A">
      <w:pPr>
        <w:pageBreakBefore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工艺流程</w:t>
      </w:r>
    </w:p>
    <w:p w14:paraId="01886ED3">
      <w:pPr>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区庄院区污水站工艺流程为：集水池+调节池+二级接触氧化池+沉淀池+清水池+过滤+消毒。</w:t>
      </w:r>
    </w:p>
    <w:p w14:paraId="09DF748D">
      <w:pPr>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珠江新城院区污水站工艺流程为：集水池+调节池+二级接触氧化池+沉淀池+清水池+消毒。</w:t>
      </w:r>
    </w:p>
    <w:p w14:paraId="35CA8BF4">
      <w:pPr>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生物岛院区污水站工艺流程为：格栅+调节池+高级氧化+PH池+絮凝沉淀+接触氧化池+二沉池+MBR池+消毒。</w:t>
      </w:r>
    </w:p>
    <w:p w14:paraId="136F2C5B">
      <w:pPr>
        <w:pageBreakBefore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.排放标准</w:t>
      </w:r>
    </w:p>
    <w:p w14:paraId="30CC76FB">
      <w:pPr>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1）区庄院区和珠江院区</w:t>
      </w:r>
    </w:p>
    <w:p w14:paraId="50FF4245">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污水经处理后出水达</w:t>
      </w:r>
      <w:r>
        <w:rPr>
          <w:rFonts w:hint="eastAsia" w:ascii="仿宋_GB2312" w:hAnsi="仿宋_GB2312" w:eastAsia="仿宋_GB2312" w:cs="仿宋_GB2312"/>
          <w:color w:val="000000" w:themeColor="text1"/>
          <w:kern w:val="2"/>
          <w:sz w:val="28"/>
          <w:szCs w:val="28"/>
          <w:lang w:val="zh-CN"/>
          <w14:textFill>
            <w14:solidFill>
              <w14:schemeClr w14:val="tx1"/>
            </w14:solidFill>
          </w14:textFill>
        </w:rPr>
        <w:t>《医疗机构水污染物排放标准》</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的最新版本的</w:t>
      </w:r>
      <w:r>
        <w:rPr>
          <w:rFonts w:hint="eastAsia" w:ascii="仿宋_GB2312" w:hAnsi="仿宋_GB2312" w:eastAsia="仿宋_GB2312" w:cs="仿宋_GB2312"/>
          <w:color w:val="000000" w:themeColor="text1"/>
          <w:kern w:val="2"/>
          <w:sz w:val="28"/>
          <w:szCs w:val="28"/>
          <w:lang w:val="zh-CN"/>
          <w14:textFill>
            <w14:solidFill>
              <w14:schemeClr w14:val="tx1"/>
            </w14:solidFill>
          </w14:textFill>
        </w:rPr>
        <w:t>预处理标准</w:t>
      </w:r>
      <w:r>
        <w:rPr>
          <w:rFonts w:hint="eastAsia" w:ascii="仿宋_GB2312" w:hAnsi="仿宋_GB2312" w:eastAsia="仿宋_GB2312" w:cs="仿宋_GB2312"/>
          <w:color w:val="000000" w:themeColor="text1"/>
          <w:kern w:val="2"/>
          <w:sz w:val="28"/>
          <w:szCs w:val="28"/>
          <w14:textFill>
            <w14:solidFill>
              <w14:schemeClr w14:val="tx1"/>
            </w14:solidFill>
          </w14:textFill>
        </w:rPr>
        <w:t>。具体</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水质指标参考标准</w:t>
      </w:r>
      <w:r>
        <w:rPr>
          <w:rFonts w:hint="eastAsia" w:ascii="仿宋_GB2312" w:hAnsi="仿宋_GB2312" w:eastAsia="仿宋_GB2312" w:cs="仿宋_GB2312"/>
          <w:color w:val="000000" w:themeColor="text1"/>
          <w:kern w:val="2"/>
          <w:sz w:val="28"/>
          <w:szCs w:val="28"/>
          <w14:textFill>
            <w14:solidFill>
              <w14:schemeClr w14:val="tx1"/>
            </w14:solidFill>
          </w14:textFill>
        </w:rPr>
        <w:t>见下表</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如国家或当地政府部门有最新的标准要求，污水排放需按要求达标</w:t>
      </w:r>
      <w:r>
        <w:rPr>
          <w:rFonts w:hint="eastAsia" w:ascii="仿宋_GB2312" w:hAnsi="仿宋_GB2312" w:eastAsia="仿宋_GB2312" w:cs="仿宋_GB2312"/>
          <w:color w:val="000000" w:themeColor="text1"/>
          <w:kern w:val="2"/>
          <w:sz w:val="28"/>
          <w:szCs w:val="28"/>
          <w14:textFill>
            <w14:solidFill>
              <w14:schemeClr w14:val="tx1"/>
            </w14:solidFill>
          </w14:textFill>
        </w:rPr>
        <w:t>：</w:t>
      </w:r>
    </w:p>
    <w:p w14:paraId="5A979066">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排放水质指标</w:t>
      </w:r>
    </w:p>
    <w:tbl>
      <w:tblPr>
        <w:tblStyle w:val="6"/>
        <w:tblW w:w="86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99"/>
        <w:gridCol w:w="3390"/>
        <w:gridCol w:w="1950"/>
        <w:gridCol w:w="2518"/>
      </w:tblGrid>
      <w:tr w14:paraId="56595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tblHeader/>
          <w:jc w:val="center"/>
        </w:trPr>
        <w:tc>
          <w:tcPr>
            <w:tcW w:w="799" w:type="dxa"/>
            <w:shd w:val="pct10" w:color="auto" w:fill="auto"/>
            <w:noWrap w:val="0"/>
            <w:vAlign w:val="center"/>
          </w:tcPr>
          <w:p w14:paraId="27A732B6">
            <w:pPr>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序</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号</w:t>
            </w:r>
          </w:p>
        </w:tc>
        <w:tc>
          <w:tcPr>
            <w:tcW w:w="3390" w:type="dxa"/>
            <w:shd w:val="pct10" w:color="auto" w:fill="auto"/>
            <w:noWrap w:val="0"/>
            <w:vAlign w:val="center"/>
          </w:tcPr>
          <w:p w14:paraId="2B86E6B8">
            <w:pPr>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项目</w:t>
            </w:r>
          </w:p>
        </w:tc>
        <w:tc>
          <w:tcPr>
            <w:tcW w:w="1950" w:type="dxa"/>
            <w:tcBorders>
              <w:right w:val="single" w:color="auto" w:sz="4" w:space="0"/>
            </w:tcBorders>
            <w:shd w:val="pct10" w:color="auto" w:fill="auto"/>
            <w:noWrap w:val="0"/>
            <w:vAlign w:val="center"/>
          </w:tcPr>
          <w:p w14:paraId="3A00490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单位</w:t>
            </w:r>
          </w:p>
        </w:tc>
        <w:tc>
          <w:tcPr>
            <w:tcW w:w="2518" w:type="dxa"/>
            <w:tcBorders>
              <w:left w:val="single" w:color="auto" w:sz="4" w:space="0"/>
            </w:tcBorders>
            <w:shd w:val="pct10" w:color="auto" w:fill="auto"/>
            <w:noWrap w:val="0"/>
            <w:vAlign w:val="center"/>
          </w:tcPr>
          <w:p w14:paraId="384027E2">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排放标准</w:t>
            </w:r>
          </w:p>
        </w:tc>
      </w:tr>
      <w:tr w14:paraId="260B6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59F9EE5E">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w:t>
            </w:r>
          </w:p>
        </w:tc>
        <w:tc>
          <w:tcPr>
            <w:tcW w:w="3390" w:type="dxa"/>
            <w:noWrap w:val="0"/>
            <w:vAlign w:val="center"/>
          </w:tcPr>
          <w:p w14:paraId="106F4D37">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PH</w:t>
            </w:r>
          </w:p>
        </w:tc>
        <w:tc>
          <w:tcPr>
            <w:tcW w:w="1950" w:type="dxa"/>
            <w:tcBorders>
              <w:right w:val="single" w:color="auto" w:sz="4" w:space="0"/>
            </w:tcBorders>
            <w:noWrap w:val="0"/>
            <w:vAlign w:val="center"/>
          </w:tcPr>
          <w:p w14:paraId="23CD8D87">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w:t>
            </w:r>
          </w:p>
        </w:tc>
        <w:tc>
          <w:tcPr>
            <w:tcW w:w="2518" w:type="dxa"/>
            <w:tcBorders>
              <w:left w:val="single" w:color="auto" w:sz="4" w:space="0"/>
            </w:tcBorders>
            <w:noWrap w:val="0"/>
            <w:vAlign w:val="center"/>
          </w:tcPr>
          <w:p w14:paraId="4524A36E">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6～9</w:t>
            </w:r>
          </w:p>
        </w:tc>
      </w:tr>
      <w:tr w14:paraId="2C3E3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5F84DCDC">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w:t>
            </w:r>
          </w:p>
        </w:tc>
        <w:tc>
          <w:tcPr>
            <w:tcW w:w="3390" w:type="dxa"/>
            <w:noWrap w:val="0"/>
            <w:vAlign w:val="center"/>
          </w:tcPr>
          <w:p w14:paraId="2B3B6BE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CODcr</w:t>
            </w:r>
          </w:p>
        </w:tc>
        <w:tc>
          <w:tcPr>
            <w:tcW w:w="1950" w:type="dxa"/>
            <w:tcBorders>
              <w:right w:val="single" w:color="auto" w:sz="4" w:space="0"/>
            </w:tcBorders>
            <w:noWrap w:val="0"/>
            <w:vAlign w:val="center"/>
          </w:tcPr>
          <w:p w14:paraId="639C311D">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mg/L</w:t>
            </w:r>
          </w:p>
        </w:tc>
        <w:tc>
          <w:tcPr>
            <w:tcW w:w="2518" w:type="dxa"/>
            <w:tcBorders>
              <w:left w:val="single" w:color="auto" w:sz="4" w:space="0"/>
            </w:tcBorders>
            <w:noWrap w:val="0"/>
            <w:vAlign w:val="center"/>
          </w:tcPr>
          <w:p w14:paraId="29FF7C4E">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≤250</w:t>
            </w:r>
          </w:p>
        </w:tc>
      </w:tr>
      <w:tr w14:paraId="7FCB6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233C4877">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3</w:t>
            </w:r>
          </w:p>
        </w:tc>
        <w:tc>
          <w:tcPr>
            <w:tcW w:w="3390" w:type="dxa"/>
            <w:noWrap w:val="0"/>
            <w:vAlign w:val="center"/>
          </w:tcPr>
          <w:p w14:paraId="545618CC">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BOD</w:t>
            </w:r>
            <w:r>
              <w:rPr>
                <w:rFonts w:hint="eastAsia" w:ascii="仿宋_GB2312" w:hAnsi="仿宋_GB2312" w:eastAsia="仿宋_GB2312" w:cs="仿宋_GB2312"/>
                <w:color w:val="000000" w:themeColor="text1"/>
                <w:kern w:val="2"/>
                <w:sz w:val="28"/>
                <w:szCs w:val="28"/>
                <w:vertAlign w:val="baseline"/>
                <w14:textFill>
                  <w14:solidFill>
                    <w14:schemeClr w14:val="tx1"/>
                  </w14:solidFill>
                </w14:textFill>
              </w:rPr>
              <w:t>5</w:t>
            </w:r>
          </w:p>
        </w:tc>
        <w:tc>
          <w:tcPr>
            <w:tcW w:w="1950" w:type="dxa"/>
            <w:tcBorders>
              <w:right w:val="single" w:color="auto" w:sz="4" w:space="0"/>
            </w:tcBorders>
            <w:noWrap w:val="0"/>
            <w:vAlign w:val="center"/>
          </w:tcPr>
          <w:p w14:paraId="2F84782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mg/L</w:t>
            </w:r>
          </w:p>
        </w:tc>
        <w:tc>
          <w:tcPr>
            <w:tcW w:w="2518" w:type="dxa"/>
            <w:tcBorders>
              <w:left w:val="single" w:color="auto" w:sz="4" w:space="0"/>
            </w:tcBorders>
            <w:noWrap w:val="0"/>
            <w:vAlign w:val="center"/>
          </w:tcPr>
          <w:p w14:paraId="1C28B62F">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≤100</w:t>
            </w:r>
          </w:p>
        </w:tc>
      </w:tr>
      <w:tr w14:paraId="2C915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6C3BA00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4</w:t>
            </w:r>
          </w:p>
        </w:tc>
        <w:tc>
          <w:tcPr>
            <w:tcW w:w="3390" w:type="dxa"/>
            <w:noWrap w:val="0"/>
            <w:vAlign w:val="center"/>
          </w:tcPr>
          <w:p w14:paraId="48EE1DE8">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SS</w:t>
            </w:r>
          </w:p>
        </w:tc>
        <w:tc>
          <w:tcPr>
            <w:tcW w:w="1950" w:type="dxa"/>
            <w:tcBorders>
              <w:right w:val="single" w:color="auto" w:sz="4" w:space="0"/>
            </w:tcBorders>
            <w:noWrap w:val="0"/>
            <w:vAlign w:val="center"/>
          </w:tcPr>
          <w:p w14:paraId="4DD3490C">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mg/L</w:t>
            </w:r>
          </w:p>
        </w:tc>
        <w:tc>
          <w:tcPr>
            <w:tcW w:w="2518" w:type="dxa"/>
            <w:tcBorders>
              <w:left w:val="single" w:color="auto" w:sz="4" w:space="0"/>
            </w:tcBorders>
            <w:noWrap w:val="0"/>
            <w:vAlign w:val="center"/>
          </w:tcPr>
          <w:p w14:paraId="3B037A45">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≤60</w:t>
            </w:r>
          </w:p>
        </w:tc>
      </w:tr>
      <w:tr w14:paraId="79EF1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2A4F1EF7">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5</w:t>
            </w:r>
          </w:p>
        </w:tc>
        <w:tc>
          <w:tcPr>
            <w:tcW w:w="3390" w:type="dxa"/>
            <w:noWrap w:val="0"/>
            <w:vAlign w:val="center"/>
          </w:tcPr>
          <w:p w14:paraId="1D693F2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粪大肠菌群数</w:t>
            </w:r>
          </w:p>
        </w:tc>
        <w:tc>
          <w:tcPr>
            <w:tcW w:w="1950" w:type="dxa"/>
            <w:tcBorders>
              <w:right w:val="single" w:color="auto" w:sz="4" w:space="0"/>
            </w:tcBorders>
            <w:noWrap w:val="0"/>
            <w:vAlign w:val="center"/>
          </w:tcPr>
          <w:p w14:paraId="5B0D09AA">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个/L</w:t>
            </w:r>
          </w:p>
        </w:tc>
        <w:tc>
          <w:tcPr>
            <w:tcW w:w="2518" w:type="dxa"/>
            <w:tcBorders>
              <w:left w:val="single" w:color="auto" w:sz="4" w:space="0"/>
            </w:tcBorders>
            <w:noWrap w:val="0"/>
            <w:vAlign w:val="center"/>
          </w:tcPr>
          <w:p w14:paraId="121156F7">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≤5000</w:t>
            </w:r>
          </w:p>
        </w:tc>
      </w:tr>
      <w:tr w14:paraId="46AC3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99" w:type="dxa"/>
            <w:noWrap w:val="0"/>
            <w:vAlign w:val="center"/>
          </w:tcPr>
          <w:p w14:paraId="490D04D2">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bookmarkStart w:id="0" w:name="_Toc202092006"/>
            <w:bookmarkStart w:id="1" w:name="_Toc215634057"/>
            <w:r>
              <w:rPr>
                <w:rFonts w:hint="eastAsia" w:ascii="仿宋_GB2312" w:hAnsi="仿宋_GB2312" w:eastAsia="仿宋_GB2312" w:cs="仿宋_GB2312"/>
                <w:color w:val="000000" w:themeColor="text1"/>
                <w:kern w:val="2"/>
                <w:sz w:val="28"/>
                <w:szCs w:val="28"/>
                <w14:textFill>
                  <w14:solidFill>
                    <w14:schemeClr w14:val="tx1"/>
                  </w14:solidFill>
                </w14:textFill>
              </w:rPr>
              <w:t>6</w:t>
            </w:r>
          </w:p>
        </w:tc>
        <w:tc>
          <w:tcPr>
            <w:tcW w:w="3390" w:type="dxa"/>
            <w:noWrap w:val="0"/>
            <w:vAlign w:val="center"/>
          </w:tcPr>
          <w:p w14:paraId="155F7E7E">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动植物油</w:t>
            </w:r>
          </w:p>
        </w:tc>
        <w:tc>
          <w:tcPr>
            <w:tcW w:w="1950" w:type="dxa"/>
            <w:tcBorders>
              <w:right w:val="single" w:color="auto" w:sz="4" w:space="0"/>
            </w:tcBorders>
            <w:noWrap w:val="0"/>
            <w:vAlign w:val="center"/>
          </w:tcPr>
          <w:p w14:paraId="1BB2074C">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mg/L</w:t>
            </w:r>
          </w:p>
        </w:tc>
        <w:tc>
          <w:tcPr>
            <w:tcW w:w="2518" w:type="dxa"/>
            <w:tcBorders>
              <w:left w:val="single" w:color="auto" w:sz="4" w:space="0"/>
            </w:tcBorders>
            <w:noWrap w:val="0"/>
            <w:vAlign w:val="center"/>
          </w:tcPr>
          <w:p w14:paraId="2C2C334C">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≤20</w:t>
            </w:r>
          </w:p>
        </w:tc>
      </w:tr>
      <w:bookmarkEnd w:id="0"/>
      <w:bookmarkEnd w:id="1"/>
    </w:tbl>
    <w:p w14:paraId="7D367422">
      <w:pPr>
        <w:pageBreakBefore w:val="0"/>
        <w:numPr>
          <w:ilvl w:val="-1"/>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（2）生物岛院区</w:t>
      </w:r>
    </w:p>
    <w:p w14:paraId="65F58958">
      <w:pPr>
        <w:ind w:firstLine="560" w:firstLineChars="200"/>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14:textFill>
            <w14:solidFill>
              <w14:schemeClr w14:val="tx1"/>
            </w14:solidFill>
          </w14:textFill>
        </w:rPr>
        <w:t>达到或高于广东省《水污染物排放限值》DB44/26-2001第二时段三级标准后再排入室外排水井。</w:t>
      </w:r>
    </w:p>
    <w:p w14:paraId="16B2C2B6">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排放水质指标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371"/>
        <w:gridCol w:w="1371"/>
        <w:gridCol w:w="1371"/>
        <w:gridCol w:w="1371"/>
        <w:gridCol w:w="1581"/>
      </w:tblGrid>
      <w:tr w14:paraId="352E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3E4CA255">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项目</w:t>
            </w:r>
          </w:p>
        </w:tc>
        <w:tc>
          <w:tcPr>
            <w:tcW w:w="1217" w:type="dxa"/>
          </w:tcPr>
          <w:p w14:paraId="06F423E7">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PH</w:t>
            </w:r>
          </w:p>
        </w:tc>
        <w:tc>
          <w:tcPr>
            <w:tcW w:w="1217" w:type="dxa"/>
          </w:tcPr>
          <w:p w14:paraId="20D4BC3A">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SS（mg/L）</w:t>
            </w:r>
          </w:p>
        </w:tc>
        <w:tc>
          <w:tcPr>
            <w:tcW w:w="1217" w:type="dxa"/>
          </w:tcPr>
          <w:p w14:paraId="494DC0C3">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COD（mg/L）</w:t>
            </w:r>
          </w:p>
        </w:tc>
        <w:tc>
          <w:tcPr>
            <w:tcW w:w="1218" w:type="dxa"/>
          </w:tcPr>
          <w:p w14:paraId="69B03746">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BOD(mg/L)</w:t>
            </w:r>
          </w:p>
        </w:tc>
        <w:tc>
          <w:tcPr>
            <w:tcW w:w="1218" w:type="dxa"/>
          </w:tcPr>
          <w:p w14:paraId="74821B68">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NH</w:t>
            </w:r>
            <w:r>
              <w:rPr>
                <w:rFonts w:hint="eastAsia" w:ascii="仿宋" w:hAnsi="仿宋" w:eastAsia="仿宋" w:cs="仿宋"/>
                <w:color w:val="000000" w:themeColor="text1"/>
                <w:sz w:val="21"/>
                <w:szCs w:val="21"/>
                <w:vertAlign w:val="baseline"/>
                <w14:textFill>
                  <w14:solidFill>
                    <w14:schemeClr w14:val="tx1"/>
                  </w14:solidFill>
                </w14:textFill>
              </w:rPr>
              <w:t>3</w:t>
            </w:r>
            <w:r>
              <w:rPr>
                <w:rFonts w:hint="eastAsia" w:ascii="仿宋" w:hAnsi="仿宋" w:eastAsia="仿宋" w:cs="仿宋"/>
                <w:color w:val="000000" w:themeColor="text1"/>
                <w:sz w:val="21"/>
                <w:szCs w:val="21"/>
                <w14:textFill>
                  <w14:solidFill>
                    <w14:schemeClr w14:val="tx1"/>
                  </w14:solidFill>
                </w14:textFill>
              </w:rPr>
              <w:t>-N</w:t>
            </w:r>
          </w:p>
        </w:tc>
      </w:tr>
      <w:tr w14:paraId="1EC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14:paraId="7861EA65">
            <w:pPr>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指标</w:t>
            </w:r>
          </w:p>
        </w:tc>
        <w:tc>
          <w:tcPr>
            <w:tcW w:w="1217" w:type="dxa"/>
          </w:tcPr>
          <w:p w14:paraId="2C5D0E8D">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6-9</w:t>
            </w:r>
          </w:p>
        </w:tc>
        <w:tc>
          <w:tcPr>
            <w:tcW w:w="1217" w:type="dxa"/>
          </w:tcPr>
          <w:p w14:paraId="02369B91">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200</w:t>
            </w:r>
          </w:p>
        </w:tc>
        <w:tc>
          <w:tcPr>
            <w:tcW w:w="1217" w:type="dxa"/>
          </w:tcPr>
          <w:p w14:paraId="1C87F5A3">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500</w:t>
            </w:r>
          </w:p>
        </w:tc>
        <w:tc>
          <w:tcPr>
            <w:tcW w:w="1218" w:type="dxa"/>
          </w:tcPr>
          <w:p w14:paraId="415B3F2F">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300</w:t>
            </w:r>
          </w:p>
        </w:tc>
        <w:tc>
          <w:tcPr>
            <w:tcW w:w="1218" w:type="dxa"/>
          </w:tcPr>
          <w:p w14:paraId="2429927E">
            <w:pPr>
              <w:ind w:firstLine="840" w:firstLineChars="40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w:t>
            </w:r>
          </w:p>
        </w:tc>
      </w:tr>
    </w:tbl>
    <w:p w14:paraId="08C3E419">
      <w:pPr>
        <w:pageBreakBefore w:val="0"/>
        <w:kinsoku/>
        <w:wordWrap/>
        <w:overflowPunct/>
        <w:topLinePunct w:val="0"/>
        <w:autoSpaceDE/>
        <w:autoSpaceDN/>
        <w:bidi w:val="0"/>
        <w:adjustRightInd/>
        <w:snapToGrid/>
        <w:spacing w:line="240" w:lineRule="auto"/>
        <w:ind w:firstLine="1120" w:firstLineChars="400"/>
        <w:jc w:val="left"/>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p>
    <w:p w14:paraId="6184406B">
      <w:pPr>
        <w:adjustRightInd/>
        <w:snapToGrid/>
        <w:ind w:firstLine="1120" w:firstLineChars="400"/>
        <w:rPr>
          <w:rFonts w:hint="eastAsia" w:ascii="仿宋_GB2312" w:hAnsi="仿宋_GB2312" w:eastAsia="仿宋_GB2312" w:cs="仿宋_GB2312"/>
          <w:b w:val="0"/>
          <w:color w:val="000000" w:themeColor="text1"/>
          <w:sz w:val="28"/>
          <w:szCs w:val="28"/>
          <w14:textFill>
            <w14:solidFill>
              <w14:schemeClr w14:val="tx1"/>
            </w14:solidFill>
          </w14:textFill>
        </w:rPr>
      </w:pPr>
      <w:r>
        <w:rPr>
          <w:rFonts w:hint="eastAsia" w:ascii="仿宋_GB2312" w:hAnsi="仿宋_GB2312" w:eastAsia="仿宋_GB2312" w:cs="仿宋_GB2312"/>
          <w:b w:val="0"/>
          <w:color w:val="000000" w:themeColor="text1"/>
          <w:sz w:val="28"/>
          <w:szCs w:val="28"/>
          <w14:textFill>
            <w14:solidFill>
              <w14:schemeClr w14:val="tx1"/>
            </w14:solidFill>
          </w14:textFill>
        </w:rPr>
        <w:t>四、运行管理要求</w:t>
      </w:r>
    </w:p>
    <w:p w14:paraId="408A9762">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1.投标人在</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个污水处理站点，</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区庄院区和珠江院区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至少各安排一名专职操作人员值班，专职操作人员需持相关岗位证件上岗</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，生物岛院区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配备1名专业巡检技术人员，一周巡检不低于</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次</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确</w:t>
      </w:r>
      <w:r>
        <w:rPr>
          <w:rFonts w:hint="eastAsia" w:ascii="仿宋_GB2312" w:hAnsi="仿宋_GB2312" w:eastAsia="仿宋_GB2312" w:cs="仿宋_GB2312"/>
          <w:color w:val="000000" w:themeColor="text1"/>
          <w:kern w:val="2"/>
          <w:sz w:val="28"/>
          <w:szCs w:val="28"/>
          <w14:textFill>
            <w14:solidFill>
              <w14:schemeClr w14:val="tx1"/>
            </w14:solidFill>
          </w14:textFill>
        </w:rPr>
        <w:t>保污水处理站系统设备每天24小时正常运行和排放污水达标；但遇特殊情况需配合</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采购人</w:t>
      </w:r>
      <w:r>
        <w:rPr>
          <w:rFonts w:hint="eastAsia" w:ascii="仿宋_GB2312" w:hAnsi="仿宋_GB2312" w:eastAsia="仿宋_GB2312" w:cs="仿宋_GB2312"/>
          <w:color w:val="000000" w:themeColor="text1"/>
          <w:kern w:val="2"/>
          <w:sz w:val="28"/>
          <w:szCs w:val="28"/>
          <w14:textFill>
            <w14:solidFill>
              <w14:schemeClr w14:val="tx1"/>
            </w14:solidFill>
          </w14:textFill>
        </w:rPr>
        <w:t>要求时间进行加班，加班费已包含在运维费用中。制定岗位生产和安全责任制度并上墙，确保污水站24小时连续正常运行。对系统设备、设施运行中出现的故障进行及时维修，并定期进行维护保养。</w:t>
      </w:r>
    </w:p>
    <w:p w14:paraId="5EDB85B8">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2"/>
          <w:sz w:val="28"/>
          <w:szCs w:val="28"/>
          <w14:textFill>
            <w14:solidFill>
              <w14:schemeClr w14:val="tx1"/>
            </w14:solidFill>
          </w14:textFill>
        </w:rPr>
        <w:t>负责污水处理设施的日常管理，</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须委派具有污/废水处理工证书的操作人员负责污水站的日常操作和管理。建立管理规章制度，严格按要求和操作规程进行设备的运行管理，确保污水处理设备正常运行，达到良好的处理效果。</w:t>
      </w:r>
    </w:p>
    <w:p w14:paraId="62CE1E16">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28"/>
          <w:szCs w:val="28"/>
          <w14:textFill>
            <w14:solidFill>
              <w14:schemeClr w14:val="tx1"/>
            </w14:solidFill>
          </w14:textFill>
        </w:rPr>
        <w:t>每班对所有设备（包括水泵、风机、臭氧、含氯设备等）巡回检查一次，及时保养和维护，有关设备轴承定期加润滑油，确保设备性能良好和正常运行，减少噪音排放，确保不产生二次污染。定期对设备、电器进行测试，校正电压、电流，发现异常及时更换。定期对水泵等设备检修和保养，出现故障及时进行维修。更换的设备或设备零配件的价值大于2000元的，由采购人负责提供，运营单位负责维修或更换。</w:t>
      </w:r>
    </w:p>
    <w:p w14:paraId="179DA2C1">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2"/>
          <w:sz w:val="28"/>
          <w:szCs w:val="28"/>
          <w14:textFill>
            <w14:solidFill>
              <w14:schemeClr w14:val="tx1"/>
            </w14:solidFill>
          </w14:textFill>
        </w:rPr>
        <w:t>定期组织进行各处理池体的清理工作，及时清理调节池及各池底泥，</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半</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年对各池底至少大清一次，保证污水处理装置场地清洁，管道顺畅，污水正常流动。</w:t>
      </w:r>
    </w:p>
    <w:p w14:paraId="1F85B258">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投标人购进的化工原料、消毒剂，应向采购人提供生产厂家、商标、合格证书。并按要求提供消毒产品企业许可证和卫生许可证批件（或产品安全评价合格）。</w:t>
      </w:r>
    </w:p>
    <w:p w14:paraId="207229C6">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根据水质情况和工艺要求，及时调整污水站的操作参数，控制流量，减少污水变化对污水站的冲击，保证消毒处理效果和污水处理后达标排放。</w:t>
      </w:r>
    </w:p>
    <w:p w14:paraId="74F4B18F">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与相关资质单位的污泥压滤清运合同于</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2028年2月28</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日到期。该合同到期前，投标人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根据污水站污泥产生量</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要</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及时</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上报采购人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由采购人安排组织清淤工作，投标人协助</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清运，保证处理效果，做好设备周围环境的卫生清洁工作，减少气味排放。</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该合同到期后，</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需定期清理处置污水</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处理系统所产生的栅渣与</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污泥</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包括污水站集水井、调节池、沉淀池以及淤泥池等</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；并对污泥作压滤脱水消毒处理后按感染性医疗废物处置。经压滤脱水消毒处理的污泥应按</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感染性废物的要求封装，压滤效果需达到医疗废物收运处置单位的要求，并按</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医疗废物管理规范要求委托有《危险废物经营许可证》资质的单位进行</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交接</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同时对污泥做相关检测（并附检测报告）</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w:t>
      </w:r>
    </w:p>
    <w:p w14:paraId="126A9103">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每日二次对pH值</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余氯</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等进行检测并及时记录</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w:t>
      </w:r>
    </w:p>
    <w:p w14:paraId="696D2713">
      <w:pPr>
        <w:ind w:firstLine="840" w:firstLineChars="300"/>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9.投标人需每7天采集一次水样送到化验实验室进行水质分析，及时掌握水质和污水排放情况，每月交一份水质分析报告给采购人存档。</w:t>
      </w:r>
    </w:p>
    <w:p w14:paraId="42D6A5AA">
      <w:pPr>
        <w:ind w:firstLine="840" w:firstLineChars="300"/>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10.对于采购人委托有资质单位的水质抽检，每年抽检不合格达三次以上，或政府部门抽检不合格达一次或以上，视同投标人达不到合同要求，采购人有权随时选择终止合同。投标人不得有异议。</w:t>
      </w:r>
    </w:p>
    <w:p w14:paraId="01796389">
      <w:pPr>
        <w:ind w:firstLine="840" w:firstLineChars="300"/>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11.投标人除驻场人员以外定期派来现场检查的技术人员和维修人员必须在现场连接采购人设置的巡检蓝牙设备并扫码，每个站点每月扫码次数不少于三次。</w:t>
      </w:r>
    </w:p>
    <w:p w14:paraId="3D7B6044">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认真做好设备运行日记，</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现场保留上月记录备查，</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每月</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末提交</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给采购人存档。</w:t>
      </w:r>
    </w:p>
    <w:p w14:paraId="0AA09EFC">
      <w:pPr>
        <w:pageBreakBefore w:val="0"/>
        <w:kinsoku/>
        <w:wordWrap/>
        <w:overflowPunct/>
        <w:topLinePunct w:val="0"/>
        <w:autoSpaceDE/>
        <w:autoSpaceDN/>
        <w:bidi w:val="0"/>
        <w:adjustRightInd/>
        <w:snapToGrid/>
        <w:spacing w:line="240" w:lineRule="auto"/>
        <w:ind w:firstLine="840" w:firstLineChars="3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每天不少于一次对周围环境进行清洁，对设备进行保洁工作，确保污水站整洁干净。</w:t>
      </w:r>
    </w:p>
    <w:p w14:paraId="7EA0BE92">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保证节约用水用电，不浪费能源。</w:t>
      </w:r>
    </w:p>
    <w:p w14:paraId="5038BBCC">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15.</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做好安全管理，健全安全规章制度，安全检查有纪录，发现安全隐患及时解决。</w:t>
      </w:r>
    </w:p>
    <w:p w14:paraId="68F5A7ED">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16.投标人</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需配合环保部门对三院区水质检测和各项检查工作，并做好相应的协调工作。</w:t>
      </w:r>
    </w:p>
    <w:p w14:paraId="7A4CCB1F">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17.</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服务期内，如因污水排放超标而被政府相关部门，包括但不限于环保、卫生防疫等部门处罚，罚款由</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承担。因</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的原因造成污水排放不达标或无法通过环保部门的测评，由</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承担因此引起的一切经济损失及其他连带责任。</w:t>
      </w:r>
    </w:p>
    <w:p w14:paraId="0E0277C1">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kern w:val="2"/>
          <w:sz w:val="28"/>
          <w:szCs w:val="28"/>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highlight w:val="none"/>
          <w14:textFill>
            <w14:solidFill>
              <w14:schemeClr w14:val="tx1"/>
            </w14:solidFill>
          </w14:textFill>
        </w:rPr>
        <w:t>在服务期间应秉着负责的态度和严格的工作作风，积极响应采购人各项工作要求，如出现不配合、不汇报、不响应的，情节严重且造成恶劣影响的，采购</w:t>
      </w:r>
      <w:r>
        <w:rPr>
          <w:rFonts w:hint="eastAsia" w:ascii="仿宋_GB2312" w:hAnsi="仿宋_GB2312" w:eastAsia="仿宋_GB2312" w:cs="仿宋_GB2312"/>
          <w:color w:val="000000" w:themeColor="text1"/>
          <w:kern w:val="2"/>
          <w:sz w:val="28"/>
          <w:szCs w:val="28"/>
          <w14:textFill>
            <w14:solidFill>
              <w14:schemeClr w14:val="tx1"/>
            </w14:solidFill>
          </w14:textFill>
        </w:rPr>
        <w:t>人有权解除合同。</w:t>
      </w:r>
    </w:p>
    <w:p w14:paraId="40A4467D">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19.</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在服务期间因自身原因出现重大质量及安全事故的，采购人有权解除合同,所有损失由</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承担。</w:t>
      </w:r>
    </w:p>
    <w:p w14:paraId="7EE52D35">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20.</w:t>
      </w:r>
      <w:r>
        <w:rPr>
          <w:rFonts w:hint="eastAsia" w:ascii="仿宋_GB2312" w:hAnsi="仿宋_GB2312" w:eastAsia="仿宋_GB2312" w:cs="仿宋_GB2312"/>
          <w:color w:val="000000" w:themeColor="text1"/>
          <w:kern w:val="2"/>
          <w:sz w:val="28"/>
          <w:szCs w:val="28"/>
          <w14:textFill>
            <w14:solidFill>
              <w14:schemeClr w14:val="tx1"/>
            </w14:solidFill>
          </w14:textFill>
        </w:rPr>
        <w:t>从事本项目运营管理人员日常作业时，应配置安全作业的工具和使用劳动保护产品。</w:t>
      </w:r>
    </w:p>
    <w:p w14:paraId="4709DE56">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21.</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接管污水站后，必须严格执行《中华人民共和国环境保护法》、《突发环境事件应急管理办法》及地方有关法律法规、标准，遵守现行颁布的环境管理规章制度及有关政策。</w:t>
      </w:r>
    </w:p>
    <w:p w14:paraId="3A110578">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22.</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应配备充足的运营管理人员，制定岗位生产和安全责任制度，保证污水站不间断运转，保证污水达到有关排放标准要求。对系统设备、设施运行中出现的故障进行及时维修维护，制定《设备维护保养计划》，定期进行维护保养，定期清淤、清渣等。</w:t>
      </w:r>
    </w:p>
    <w:p w14:paraId="456AFC1A">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23.</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投标人的工作人员或者代班人员都必须持证上岗，需提前把人员及其上岗证报送给采购人报备，如采购人发现投标人工作人员没有持证上岗的，扣罚当月管理费1000元，并可要求其更换合格的工作人员。</w:t>
      </w:r>
    </w:p>
    <w:p w14:paraId="51085111">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24.</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应建立日常工作记录台簿，将每日进行的一切工作活动记录在册，包括开泵、关泵、清渣、投加药剂、定期清理格栅、清洗在线监测仪探头、维修、交接班时间和工作内容等。</w:t>
      </w:r>
    </w:p>
    <w:p w14:paraId="3605AB6D">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25.</w:t>
      </w:r>
      <w:r>
        <w:rPr>
          <w:rFonts w:hint="eastAsia" w:ascii="仿宋_GB2312" w:hAnsi="仿宋_GB2312" w:eastAsia="仿宋_GB2312" w:cs="仿宋_GB2312"/>
          <w:color w:val="000000" w:themeColor="text1"/>
          <w:kern w:val="2"/>
          <w:sz w:val="28"/>
          <w:szCs w:val="28"/>
          <w14:textFill>
            <w14:solidFill>
              <w14:schemeClr w14:val="tx1"/>
            </w14:solidFill>
          </w14:textFill>
        </w:rPr>
        <w:t>运营管理协议期限到后，</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应将所有资料无条件移交给采购人，且保证资料的真实与完整。</w:t>
      </w:r>
    </w:p>
    <w:p w14:paraId="649468C6">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26.合同有效期间，若因投标人管理不到位或污水排放指标不达标，导致环境监测部门处罚、媒体曝光等对采购人造成影响的，投标人需承担所有罚款的经济责任，采购人有权免赔偿终止合同，并追究投标人的连带赔偿责任。</w:t>
      </w:r>
    </w:p>
    <w:p w14:paraId="7631A15D">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27.如采购人需要，应提供对采购人另行委托的公司对系统进行改造、延伸或扩容所需的设备、软件安装、智能化设施的施工，投标人需配合采购人另行安排的其他施工单位对污水处理站的施工。配合费已包含在维保费用当中。</w:t>
      </w:r>
    </w:p>
    <w:p w14:paraId="76B21223">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28.如投标人在运维管理期间，遇上采购人原有污水处理装置损坏甚至崩溃，投标人需临时采取相应措施并提供设备对采购人污水处理站水质进行处理，以达到污水排放标准，此部分应急费用已包含在投标报价综合考虑中。属于抢修的设备，投标人需无条件先维修再报价，报价只收取材料费用和相应税金，如采购人对投标人的材料报价不接受，采购人有权选择自购比投标人报价更低的同品质材料交付给投标人进行安装，投标人不得有异议。</w:t>
      </w:r>
    </w:p>
    <w:p w14:paraId="6FD1CB2B">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29.在维保期间如果遇到大型设备维修，或者检修需另外报价时，投标人必须配合采购人的审计，财务等部门做好报价修改及设备维修工作，不得以任何理由拖延维修的进程，因投标人原因造成采购人检查或者抽检不合格的情况，损失由投标人全部负责。</w:t>
      </w:r>
    </w:p>
    <w:p w14:paraId="26799442">
      <w:pPr>
        <w:ind w:firstLine="560" w:firstLineChars="200"/>
        <w:jc w:val="left"/>
        <w:rPr>
          <w:rFonts w:hint="eastAsia" w:ascii="仿宋_GB2312" w:hAnsi="仿宋_GB2312" w:eastAsia="仿宋_GB2312" w:cs="仿宋_GB2312"/>
          <w:bCs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30.采购人对投标人所承包的工作有监督管理责任，不定期进行检查。</w:t>
      </w:r>
    </w:p>
    <w:p w14:paraId="7724ABDF">
      <w:pPr>
        <w:ind w:firstLine="0" w:firstLineChars="0"/>
        <w:rPr>
          <w:rFonts w:hint="eastAsia" w:ascii="仿宋_GB2312" w:hAnsi="仿宋_GB2312" w:eastAsia="仿宋_GB2312" w:cs="仿宋_GB2312"/>
          <w:color w:val="000000" w:themeColor="text1"/>
          <w:sz w:val="28"/>
          <w:szCs w:val="28"/>
          <w14:textFill>
            <w14:solidFill>
              <w14:schemeClr w14:val="tx1"/>
            </w14:solidFill>
          </w14:textFill>
        </w:rPr>
      </w:pPr>
    </w:p>
    <w:p w14:paraId="1218BB1F">
      <w:pPr>
        <w:pageBreakBefore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val="0"/>
          <w:color w:val="000000" w:themeColor="text1"/>
          <w:sz w:val="28"/>
          <w:szCs w:val="28"/>
          <w:lang w:val="en-US" w:eastAsia="zh-CN"/>
          <w14:textFill>
            <w14:solidFill>
              <w14:schemeClr w14:val="tx1"/>
            </w14:solidFill>
          </w14:textFill>
        </w:rPr>
        <w:t>31.其他要求</w:t>
      </w:r>
    </w:p>
    <w:p w14:paraId="727F2EA1">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须无条件为采购人按国家法律法规的要求办理污水站使用到的所有药剂的备案（如有），如因没有做好备案的，由此造成的一切经济损失及其他连带责任，由</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负责，采购人有权单方面解除合同。</w:t>
      </w:r>
    </w:p>
    <w:p w14:paraId="66E06998">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 xml:space="preserve">（2） </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应保证污水处理设备和设施的安全与完整，防止各类事故的发生，如因管理不善造成的经济损失或重大事故（如本项目污水处理遭环保部门的经济或行政处罚），由</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负全部责任，采购人有权单方面解除合同。</w:t>
      </w:r>
    </w:p>
    <w:p w14:paraId="622826A9">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 xml:space="preserve">（3） </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应接受采购人的监督和管理，对不规范运作和不按协议执行，采购人有权要求</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纠正，如</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连续两次拒不执行，采购人将扣罚当月运营费用的 30%，如连续三次拒不执行，采购人有权单方面解除合同关系。</w:t>
      </w:r>
    </w:p>
    <w:p w14:paraId="576ABBBC">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（4） 针对</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提供的维修单项费用超过人民币2000 元（不含人民币2000元）的项目，采购人有权决定维修公司，</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需无条件配合采购人安排的维修公司进行维修，费用由采购人支付。同时针对</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与采购人双方确定的维修单项项目，如果维修公司报价低于人民币2000 元（含人民币2000元）的，该费用由</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负责。</w:t>
      </w:r>
    </w:p>
    <w:p w14:paraId="2DAC22F1">
      <w:pPr>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（5） 在服务过程中，如采购人发现</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的服务人员没有依时完成合约规定任务或服务质量达不到要求的，</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须无条件更换服务人员，经采购人三次提出书面批评意见后仍无改进，采购人有权终止合同，并追究</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违约责任。</w:t>
      </w:r>
    </w:p>
    <w:p w14:paraId="6D1EAF88">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采购人若发现投标人未按合同的条款执行，采购人应书面向投标人提出警告，合同期内第一次警告扣除管理费1000元，第二次警告扣除当月管理费10000元。如合同期内发生三次警告现象，采购人有权扣罚当月全部运维管理费用，并有权终止协议，并追究投标人的连带赔偿责任。</w:t>
      </w:r>
    </w:p>
    <w:p w14:paraId="0F71137D">
      <w:pPr>
        <w:ind w:firstLine="1120" w:firstLineChars="400"/>
        <w:rPr>
          <w:rFonts w:hint="eastAsia" w:ascii="仿宋_GB2312" w:hAnsi="仿宋_GB2312" w:eastAsia="仿宋_GB2312" w:cs="仿宋_GB2312"/>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7</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投标人需负责拟投入本项目的设备、设施的维修与保养、因此产生的费用包含在投标总价内。</w:t>
      </w:r>
    </w:p>
    <w:p w14:paraId="7E1997C2">
      <w:pPr>
        <w:pageBreakBefore w:val="0"/>
        <w:kinsoku/>
        <w:wordWrap/>
        <w:overflowPunct/>
        <w:topLinePunct w:val="0"/>
        <w:autoSpaceDE/>
        <w:autoSpaceDN/>
        <w:bidi w:val="0"/>
        <w:adjustRightInd/>
        <w:snapToGrid/>
        <w:ind w:firstLine="1120" w:firstLineChars="4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val="0"/>
          <w:color w:val="000000" w:themeColor="text1"/>
          <w:sz w:val="28"/>
          <w:szCs w:val="28"/>
          <w:lang w:val="en-US" w:eastAsia="zh-CN"/>
          <w14:textFill>
            <w14:solidFill>
              <w14:schemeClr w14:val="tx1"/>
            </w14:solidFill>
          </w14:textFill>
        </w:rPr>
        <w:t>五、</w:t>
      </w:r>
      <w:r>
        <w:rPr>
          <w:rFonts w:hint="eastAsia" w:ascii="仿宋_GB2312" w:hAnsi="仿宋_GB2312" w:eastAsia="仿宋_GB2312" w:cs="仿宋_GB2312"/>
          <w:color w:val="000000" w:themeColor="text1"/>
          <w:sz w:val="28"/>
          <w:szCs w:val="28"/>
          <w14:textFill>
            <w14:solidFill>
              <w14:schemeClr w14:val="tx1"/>
            </w14:solidFill>
          </w14:textFill>
        </w:rPr>
        <w:t>质量标准及验收要求</w:t>
      </w:r>
    </w:p>
    <w:p w14:paraId="45AC9CF3">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须保证合同服务符合本《用户需求书》要求。</w:t>
      </w:r>
    </w:p>
    <w:p w14:paraId="5FC58C16">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须尊重和服从采购人的领导和管理，很好的配合采购人的工作安排。</w:t>
      </w:r>
    </w:p>
    <w:p w14:paraId="23ED1EA8">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（3）按本用户需求书规定的所有检测报告均需合格或达标。</w:t>
      </w:r>
    </w:p>
    <w:p w14:paraId="19958747">
      <w:pPr>
        <w:ind w:firstLine="1120" w:firstLineChars="400"/>
        <w:rPr>
          <w:rFonts w:hint="eastAsia" w:ascii="仿宋_GB2312" w:hAnsi="仿宋_GB2312" w:eastAsia="仿宋_GB2312" w:cs="仿宋_GB2312"/>
          <w:bCs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（4）日常运营资料均需齐全，</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须对已完成的工作提供完工实景图片等资料的整理编辑，以留作备案存档资料之用。</w:t>
      </w:r>
    </w:p>
    <w:p w14:paraId="34401638">
      <w:pPr>
        <w:pageBreakBefore w:val="0"/>
        <w:kinsoku/>
        <w:wordWrap/>
        <w:overflowPunct/>
        <w:topLinePunct w:val="0"/>
        <w:autoSpaceDE/>
        <w:autoSpaceDN/>
        <w:bidi w:val="0"/>
        <w:adjustRightInd/>
        <w:snapToGrid/>
        <w:ind w:firstLine="1120" w:firstLineChars="4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六、</w:t>
      </w:r>
      <w:r>
        <w:rPr>
          <w:rFonts w:hint="eastAsia" w:ascii="仿宋_GB2312" w:hAnsi="仿宋_GB2312" w:eastAsia="仿宋_GB2312" w:cs="仿宋_GB2312"/>
          <w:color w:val="000000" w:themeColor="text1"/>
          <w:sz w:val="28"/>
          <w:szCs w:val="28"/>
          <w14:textFill>
            <w14:solidFill>
              <w14:schemeClr w14:val="tx1"/>
            </w14:solidFill>
          </w14:textFill>
        </w:rPr>
        <w:t>投标时要求提供的运营方案内容应包含但不限于：</w:t>
      </w:r>
    </w:p>
    <w:p w14:paraId="2EA004ED">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（1） 运营、维修养护计划方案及质量控制和保证计划；</w:t>
      </w:r>
    </w:p>
    <w:p w14:paraId="49E2BC4D">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（2） 污水站水质检测设备；运营维保所需装备的配置计划；</w:t>
      </w:r>
    </w:p>
    <w:p w14:paraId="7D30D985">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（3） 服务人员配置方案；</w:t>
      </w:r>
    </w:p>
    <w:p w14:paraId="280386B0">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（4） 运营记录表、化验记录表；</w:t>
      </w:r>
    </w:p>
    <w:p w14:paraId="5A74A8C6">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（5） 操作规程、岗位责任；</w:t>
      </w:r>
    </w:p>
    <w:p w14:paraId="7A250421">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（6） 安全和防护制度、应急计划；</w:t>
      </w:r>
    </w:p>
    <w:p w14:paraId="0FD1B4D8">
      <w:pPr>
        <w:pageBreakBefore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14:textFill>
            <w14:solidFill>
              <w14:schemeClr w14:val="tx1"/>
            </w14:solidFill>
          </w14:textFill>
        </w:rPr>
        <w:t>（7） 费用分析表；</w:t>
      </w:r>
    </w:p>
    <w:p w14:paraId="19976A91">
      <w:pPr>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themeColor="text1"/>
          <w:kern w:val="2"/>
          <w:sz w:val="28"/>
          <w:szCs w:val="28"/>
          <w14:textFill>
            <w14:solidFill>
              <w14:schemeClr w14:val="tx1"/>
            </w14:solidFill>
          </w14:textFill>
        </w:rPr>
        <w:t xml:space="preserve">（8） </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投标人</w:t>
      </w:r>
      <w:r>
        <w:rPr>
          <w:rFonts w:hint="eastAsia" w:ascii="仿宋_GB2312" w:hAnsi="仿宋_GB2312" w:eastAsia="仿宋_GB2312" w:cs="仿宋_GB2312"/>
          <w:color w:val="000000" w:themeColor="text1"/>
          <w:kern w:val="2"/>
          <w:sz w:val="28"/>
          <w:szCs w:val="28"/>
          <w14:textFill>
            <w14:solidFill>
              <w14:schemeClr w14:val="tx1"/>
            </w14:solidFill>
          </w14:textFill>
        </w:rPr>
        <w:t>认为完成本项目所需的其他资料或要求</w:t>
      </w:r>
      <w:r>
        <w:rPr>
          <w:rFonts w:hint="eastAsia" w:ascii="仿宋_GB2312" w:hAnsi="仿宋_GB2312" w:eastAsia="仿宋_GB2312" w:cs="仿宋_GB2312"/>
          <w:kern w:val="28"/>
          <w:sz w:val="28"/>
          <w:szCs w:val="28"/>
        </w:rPr>
        <w:t>。</w:t>
      </w:r>
      <w:r>
        <w:rPr>
          <w:rFonts w:hint="eastAsia" w:ascii="仿宋_GB2312" w:hAnsi="仿宋_GB2312" w:eastAsia="仿宋_GB2312" w:cs="仿宋_GB2312"/>
          <w:b/>
          <w:sz w:val="28"/>
          <w:szCs w:val="28"/>
        </w:rPr>
        <w:t>▲</w:t>
      </w:r>
      <w:r>
        <w:rPr>
          <w:rFonts w:hint="eastAsia" w:ascii="仿宋_GB2312" w:hAnsi="仿宋_GB2312" w:eastAsia="仿宋_GB2312" w:cs="仿宋_GB2312"/>
          <w:bCs/>
          <w:sz w:val="28"/>
          <w:szCs w:val="28"/>
          <w:lang w:val="en-US" w:eastAsia="zh-CN"/>
        </w:rPr>
        <w:t>另：</w:t>
      </w:r>
      <w:r>
        <w:rPr>
          <w:rFonts w:hint="eastAsia" w:ascii="仿宋_GB2312" w:hAnsi="仿宋_GB2312" w:eastAsia="仿宋_GB2312" w:cs="仿宋_GB2312"/>
          <w:bCs/>
          <w:sz w:val="28"/>
          <w:szCs w:val="28"/>
        </w:rPr>
        <w:t>1、本项目不集中组织现场踏勘，投标人自行踏勘现场。</w:t>
      </w:r>
    </w:p>
    <w:p w14:paraId="328FADF6">
      <w:pPr>
        <w:ind w:firstLine="1120" w:firstLineChars="4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2、投标人提供的人员配置数量不得少于建议人数，向采购人提供驻场人员的名单及资质证书。</w:t>
      </w:r>
      <w:r>
        <w:rPr>
          <w:rFonts w:hint="eastAsia" w:ascii="仿宋_GB2312" w:hAnsi="仿宋_GB2312" w:eastAsia="仿宋_GB2312" w:cs="仿宋_GB2312"/>
          <w:bCs/>
          <w:sz w:val="28"/>
          <w:szCs w:val="28"/>
        </w:rPr>
        <w:t>持有环保部门或环保部门委托的中介机构颁发的环境保护设施运行人员技能培训合格证书(污水处理工)。</w:t>
      </w:r>
    </w:p>
    <w:p w14:paraId="2601A015">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yNTBhMmIzNjFiNTQ5ZjY0ZTZhYWM5YjAwMTdlNDYifQ=="/>
  </w:docVars>
  <w:rsids>
    <w:rsidRoot w:val="701C67DB"/>
    <w:rsid w:val="00165298"/>
    <w:rsid w:val="001A5322"/>
    <w:rsid w:val="00B12BF9"/>
    <w:rsid w:val="00FC3551"/>
    <w:rsid w:val="02D5341B"/>
    <w:rsid w:val="0E975183"/>
    <w:rsid w:val="0FD660AD"/>
    <w:rsid w:val="13AE77A7"/>
    <w:rsid w:val="1CA67605"/>
    <w:rsid w:val="1EA15BF5"/>
    <w:rsid w:val="206F54C4"/>
    <w:rsid w:val="28612632"/>
    <w:rsid w:val="2A8266FA"/>
    <w:rsid w:val="32E40DBC"/>
    <w:rsid w:val="420A6A7D"/>
    <w:rsid w:val="42DD7D3D"/>
    <w:rsid w:val="4F4547C5"/>
    <w:rsid w:val="67C06544"/>
    <w:rsid w:val="688558EE"/>
    <w:rsid w:val="6C382C77"/>
    <w:rsid w:val="6E3E026B"/>
    <w:rsid w:val="701C67DB"/>
    <w:rsid w:val="732C1C61"/>
    <w:rsid w:val="75C735CB"/>
    <w:rsid w:val="768F5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kern w:val="0"/>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99"/>
    <w:pPr>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缩进1"/>
    <w:basedOn w:val="1"/>
    <w:qFormat/>
    <w:uiPriority w:val="0"/>
    <w:pPr>
      <w:ind w:firstLine="420" w:firstLineChars="200"/>
    </w:pPr>
  </w:style>
  <w:style w:type="character" w:customStyle="1" w:styleId="10">
    <w:name w:val="页眉 Char"/>
    <w:basedOn w:val="8"/>
    <w:link w:val="4"/>
    <w:qFormat/>
    <w:uiPriority w:val="0"/>
    <w:rPr>
      <w:rFonts w:ascii="Times New Roman" w:hAnsi="Times New Roman" w:eastAsia="宋体" w:cs="Times New Roman"/>
      <w:kern w:val="2"/>
      <w:sz w:val="18"/>
      <w:szCs w:val="18"/>
    </w:rPr>
  </w:style>
  <w:style w:type="character" w:customStyle="1" w:styleId="11">
    <w:name w:val="页脚 Char"/>
    <w:basedOn w:val="8"/>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4441</Words>
  <Characters>4634</Characters>
  <Lines>51</Lines>
  <Paragraphs>14</Paragraphs>
  <TotalTime>266</TotalTime>
  <ScaleCrop>false</ScaleCrop>
  <LinksUpToDate>false</LinksUpToDate>
  <CharactersWithSpaces>4650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2023-07-18T03:51:00Z</dcterms:created>
  <dc:creator>Lxh</dc:creator>
  <cp:lastModifiedBy>周白玉</cp:lastModifiedBy>
  <cp:lastPrinted>2026-07-27T01:48:00Z</cp:lastPrinted>
  <dcterms:modified xsi:type="dcterms:W3CDTF">2026-08-12T07:40:35Z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5E97F8F7694040D3852FB320DC848574_13</vt:lpwstr>
  </property>
  <property fmtid="{D5CDD505-2E9C-101B-9397-08002B2CF9AE}" pid="4" name="KSOTemplateDocerSaveRecord">
    <vt:lpwstr>eyJoZGlkIjoiOGJjMTliM2NkYWQwY2QxNDRiNjNmMDUyMGM5YjU3NTkiLCJ1c2VySWQiOiI0MjgxMjU2NjgifQ==</vt:lpwstr>
  </property>
</Properties>
</file>